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4D45" w14:textId="77777777" w:rsidR="00D26CAA" w:rsidRPr="00216D20" w:rsidRDefault="00D26CAA" w:rsidP="00216D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</w:p>
    <w:tbl>
      <w:tblPr>
        <w:tblStyle w:val="4"/>
        <w:tblW w:w="978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3002"/>
        <w:gridCol w:w="1811"/>
        <w:gridCol w:w="1792"/>
      </w:tblGrid>
      <w:tr w:rsidR="00D26CAA" w:rsidRPr="00216D20" w14:paraId="5633CB24" w14:textId="77777777" w:rsidTr="00216D20">
        <w:trPr>
          <w:trHeight w:val="374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22EA1" w14:textId="77777777" w:rsidR="00D26CAA" w:rsidRPr="00216D20" w:rsidRDefault="006D18A4" w:rsidP="00216D20">
            <w:pPr>
              <w:tabs>
                <w:tab w:val="left" w:pos="2595"/>
                <w:tab w:val="left" w:pos="3210"/>
              </w:tabs>
              <w:jc w:val="left"/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Stan na dzień sporządzenia prospektu informacyjnego</w:t>
            </w: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5392CE" w14:textId="77777777" w:rsidR="00D26CAA" w:rsidRPr="00216D20" w:rsidRDefault="00D26CAA" w:rsidP="00216D20">
            <w:pPr>
              <w:rPr>
                <w:rFonts w:ascii="Times New Roman" w:eastAsia="Lato" w:hAnsi="Times New Roman" w:cs="Times New Roman"/>
              </w:rPr>
            </w:pPr>
          </w:p>
        </w:tc>
      </w:tr>
      <w:tr w:rsidR="00D26CAA" w:rsidRPr="00216D20" w14:paraId="7A8D97E3" w14:textId="77777777" w:rsidTr="00216D20">
        <w:trPr>
          <w:trHeight w:val="1049"/>
        </w:trPr>
        <w:tc>
          <w:tcPr>
            <w:tcW w:w="79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509E8" w14:textId="77777777" w:rsidR="00D26CAA" w:rsidRPr="00216D20" w:rsidRDefault="00D26CAA" w:rsidP="00216D20">
            <w:pPr>
              <w:rPr>
                <w:rFonts w:ascii="Times New Roman" w:eastAsia="Lato" w:hAnsi="Times New Roman" w:cs="Times New Roman"/>
                <w:b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59DD5B" w14:textId="338EF292" w:rsidR="00D26CAA" w:rsidRPr="00216D20" w:rsidRDefault="006D18A4" w:rsidP="00216D20">
            <w:pPr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eastAsia="Lato" w:hAnsi="Times New Roman" w:cs="Times New Roman"/>
              </w:rPr>
              <w:t>Data</w:t>
            </w:r>
            <w:r w:rsidR="00216D20" w:rsidRPr="00216D20">
              <w:rPr>
                <w:rFonts w:ascii="Times New Roman" w:eastAsia="Lato" w:hAnsi="Times New Roman" w:cs="Times New Roman"/>
              </w:rPr>
              <w:t>:</w:t>
            </w:r>
            <w:r w:rsidR="005F2FC1">
              <w:rPr>
                <w:rFonts w:ascii="Times New Roman" w:eastAsia="Lato" w:hAnsi="Times New Roman" w:cs="Times New Roman"/>
              </w:rPr>
              <w:t xml:space="preserve"> </w:t>
            </w:r>
            <w:r w:rsidR="008A44AC">
              <w:rPr>
                <w:rFonts w:ascii="Times New Roman" w:eastAsia="Lato" w:hAnsi="Times New Roman" w:cs="Times New Roman"/>
              </w:rPr>
              <w:t>13</w:t>
            </w:r>
            <w:r w:rsidR="005F2FC1">
              <w:rPr>
                <w:rFonts w:ascii="Times New Roman" w:eastAsia="Lato" w:hAnsi="Times New Roman" w:cs="Times New Roman"/>
              </w:rPr>
              <w:t>.</w:t>
            </w:r>
            <w:r w:rsidR="00CC6E96">
              <w:rPr>
                <w:rFonts w:ascii="Times New Roman" w:eastAsia="Lato" w:hAnsi="Times New Roman" w:cs="Times New Roman"/>
              </w:rPr>
              <w:t>01</w:t>
            </w:r>
            <w:r w:rsidR="005F2FC1">
              <w:rPr>
                <w:rFonts w:ascii="Times New Roman" w:eastAsia="Lato" w:hAnsi="Times New Roman" w:cs="Times New Roman"/>
              </w:rPr>
              <w:t>.202</w:t>
            </w:r>
            <w:r w:rsidR="00CC6E96">
              <w:rPr>
                <w:rFonts w:ascii="Times New Roman" w:eastAsia="Lato" w:hAnsi="Times New Roman" w:cs="Times New Roman"/>
              </w:rPr>
              <w:t>6</w:t>
            </w:r>
          </w:p>
        </w:tc>
      </w:tr>
      <w:tr w:rsidR="00D26CAA" w:rsidRPr="00216D20" w14:paraId="61F7C397" w14:textId="77777777" w:rsidTr="00216D20">
        <w:trPr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08E9A2" w14:textId="77777777" w:rsidR="00D26CAA" w:rsidRPr="00216D20" w:rsidRDefault="006D18A4" w:rsidP="00216D20">
            <w:pPr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PROSPEKT INFORMACYJNY</w:t>
            </w:r>
          </w:p>
        </w:tc>
      </w:tr>
      <w:tr w:rsidR="00D26CAA" w:rsidRPr="00216D20" w14:paraId="12ADDCE9" w14:textId="77777777" w:rsidTr="00216D20">
        <w:trPr>
          <w:trHeight w:val="374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76C97" w14:textId="77777777" w:rsidR="00D26CAA" w:rsidRPr="00216D20" w:rsidRDefault="006D18A4" w:rsidP="00216D20">
            <w:pPr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CZĘŚĆ OGÓLNA</w:t>
            </w:r>
          </w:p>
        </w:tc>
      </w:tr>
      <w:tr w:rsidR="00D26CAA" w:rsidRPr="00216D20" w14:paraId="39323CBE" w14:textId="77777777" w:rsidTr="00216D20">
        <w:trPr>
          <w:trHeight w:val="612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09A75" w14:textId="77777777" w:rsidR="00D26CAA" w:rsidRPr="00216D20" w:rsidRDefault="006D18A4" w:rsidP="00216D20">
            <w:pPr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I. DANE IDENTYFIKACYJNE I KONTAKTOWE DOTYCZĄCE DEWELOPERA</w:t>
            </w:r>
          </w:p>
        </w:tc>
      </w:tr>
      <w:tr w:rsidR="00D26CAA" w:rsidRPr="00216D20" w14:paraId="5BA17268" w14:textId="77777777" w:rsidTr="00216D20">
        <w:trPr>
          <w:trHeight w:val="799"/>
        </w:trPr>
        <w:tc>
          <w:tcPr>
            <w:tcW w:w="9781" w:type="dxa"/>
            <w:gridSpan w:val="4"/>
            <w:tcBorders>
              <w:top w:val="nil"/>
            </w:tcBorders>
            <w:shd w:val="clear" w:color="auto" w:fill="BFBFBF"/>
          </w:tcPr>
          <w:p w14:paraId="57510E61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DANE DEWELOPERA</w:t>
            </w:r>
          </w:p>
        </w:tc>
      </w:tr>
      <w:tr w:rsidR="00B629CA" w:rsidRPr="00216D20" w14:paraId="5CE056F1" w14:textId="77777777" w:rsidTr="00216D20">
        <w:trPr>
          <w:trHeight w:val="1313"/>
        </w:trPr>
        <w:tc>
          <w:tcPr>
            <w:tcW w:w="3176" w:type="dxa"/>
            <w:shd w:val="clear" w:color="auto" w:fill="D9D9D9"/>
            <w:vAlign w:val="top"/>
          </w:tcPr>
          <w:p w14:paraId="5BAEF172" w14:textId="77777777" w:rsidR="00B629C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Deweloper</w:t>
            </w:r>
          </w:p>
        </w:tc>
        <w:tc>
          <w:tcPr>
            <w:tcW w:w="6605" w:type="dxa"/>
            <w:gridSpan w:val="3"/>
            <w:vAlign w:val="top"/>
          </w:tcPr>
          <w:p w14:paraId="73659021" w14:textId="56CD6F05" w:rsidR="00B629CA" w:rsidRPr="00720887" w:rsidRDefault="005F2FC1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720887">
              <w:rPr>
                <w:rFonts w:ascii="Times New Roman" w:eastAsia="Lato" w:hAnsi="Times New Roman" w:cs="Times New Roman"/>
                <w:color w:val="000000"/>
              </w:rPr>
              <w:t>MDG Invest Development Sp. z o.o.</w:t>
            </w:r>
          </w:p>
          <w:p w14:paraId="1F73B07C" w14:textId="77777777" w:rsidR="005F2FC1" w:rsidRPr="00720887" w:rsidRDefault="005F2FC1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p w14:paraId="6171914E" w14:textId="0F5CF12E" w:rsidR="005F2FC1" w:rsidRPr="00216D20" w:rsidRDefault="005F2FC1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Nr KRS</w:t>
            </w:r>
            <w:r w:rsidR="005E57D5">
              <w:rPr>
                <w:rFonts w:ascii="Times New Roman" w:eastAsia="Lato" w:hAnsi="Times New Roman" w:cs="Times New Roman"/>
                <w:color w:val="000000"/>
              </w:rPr>
              <w:t xml:space="preserve">: </w:t>
            </w:r>
            <w:r w:rsidRPr="005F2FC1">
              <w:rPr>
                <w:rFonts w:ascii="Times New Roman" w:hAnsi="Times New Roman" w:cs="Times New Roman"/>
                <w:color w:val="333333"/>
                <w:spacing w:val="2"/>
                <w:sz w:val="21"/>
                <w:szCs w:val="21"/>
                <w:shd w:val="clear" w:color="auto" w:fill="FFFFFF"/>
              </w:rPr>
              <w:t>0001111554</w:t>
            </w:r>
          </w:p>
        </w:tc>
      </w:tr>
      <w:tr w:rsidR="00B629CA" w:rsidRPr="00216D20" w14:paraId="581929E4" w14:textId="77777777" w:rsidTr="00216D20">
        <w:trPr>
          <w:trHeight w:val="1111"/>
        </w:trPr>
        <w:tc>
          <w:tcPr>
            <w:tcW w:w="3176" w:type="dxa"/>
            <w:shd w:val="clear" w:color="auto" w:fill="D9D9D9"/>
            <w:vAlign w:val="top"/>
          </w:tcPr>
          <w:p w14:paraId="25745430" w14:textId="77777777" w:rsidR="00B629C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gridSpan w:val="3"/>
            <w:vAlign w:val="top"/>
          </w:tcPr>
          <w:p w14:paraId="7ACE79D8" w14:textId="20511760" w:rsidR="00B629CA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Ul. Łąkowa 8/2</w:t>
            </w:r>
          </w:p>
          <w:p w14:paraId="61D5449B" w14:textId="77777777" w:rsidR="005F2FC1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p w14:paraId="5244E60B" w14:textId="02406A35" w:rsidR="005F2FC1" w:rsidRPr="00216D20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05-092 Łomianki</w:t>
            </w:r>
          </w:p>
          <w:p w14:paraId="5E254D73" w14:textId="77777777" w:rsidR="00B629C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011D0A02" w14:textId="77777777" w:rsidTr="00216D20">
        <w:tc>
          <w:tcPr>
            <w:tcW w:w="3176" w:type="dxa"/>
            <w:vMerge w:val="restart"/>
            <w:shd w:val="clear" w:color="auto" w:fill="D9D9D9"/>
            <w:vAlign w:val="top"/>
          </w:tcPr>
          <w:p w14:paraId="5868E5FF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NIP i REGON</w:t>
            </w:r>
          </w:p>
        </w:tc>
        <w:tc>
          <w:tcPr>
            <w:tcW w:w="3002" w:type="dxa"/>
            <w:vAlign w:val="top"/>
          </w:tcPr>
          <w:p w14:paraId="4B4C3D21" w14:textId="44DADD56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NIP: </w:t>
            </w:r>
            <w:r w:rsidR="005F2FC1">
              <w:rPr>
                <w:rFonts w:ascii="Times New Roman" w:eastAsia="Lato" w:hAnsi="Times New Roman" w:cs="Times New Roman"/>
                <w:color w:val="000000"/>
              </w:rPr>
              <w:t>118-198-83-39</w:t>
            </w:r>
          </w:p>
        </w:tc>
        <w:tc>
          <w:tcPr>
            <w:tcW w:w="3603" w:type="dxa"/>
            <w:gridSpan w:val="2"/>
            <w:vAlign w:val="top"/>
          </w:tcPr>
          <w:p w14:paraId="46D1FE7E" w14:textId="24654D40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REGON: </w:t>
            </w:r>
            <w:r w:rsidR="005F2FC1" w:rsidRPr="005F2FC1">
              <w:rPr>
                <w:rFonts w:ascii="Times New Roman" w:eastAsia="Lato" w:hAnsi="Times New Roman" w:cs="Times New Roman"/>
                <w:color w:val="000000"/>
              </w:rPr>
              <w:t>141770770</w:t>
            </w:r>
          </w:p>
        </w:tc>
      </w:tr>
      <w:tr w:rsidR="00D26CAA" w:rsidRPr="00216D20" w14:paraId="56DED06A" w14:textId="77777777" w:rsidTr="00216D20">
        <w:trPr>
          <w:trHeight w:val="799"/>
        </w:trPr>
        <w:tc>
          <w:tcPr>
            <w:tcW w:w="3176" w:type="dxa"/>
            <w:vMerge/>
            <w:shd w:val="clear" w:color="auto" w:fill="D9D9D9"/>
            <w:vAlign w:val="top"/>
          </w:tcPr>
          <w:p w14:paraId="5215A739" w14:textId="77777777" w:rsidR="00D26CAA" w:rsidRPr="00216D20" w:rsidRDefault="00D26CAA" w:rsidP="00216D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002" w:type="dxa"/>
            <w:vAlign w:val="top"/>
          </w:tcPr>
          <w:p w14:paraId="23BD0DE7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3603" w:type="dxa"/>
            <w:gridSpan w:val="2"/>
            <w:vAlign w:val="top"/>
          </w:tcPr>
          <w:p w14:paraId="26CB0DD8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254D2121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3CEE4E25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telefonu</w:t>
            </w:r>
          </w:p>
        </w:tc>
        <w:tc>
          <w:tcPr>
            <w:tcW w:w="6605" w:type="dxa"/>
            <w:gridSpan w:val="3"/>
            <w:vAlign w:val="top"/>
          </w:tcPr>
          <w:p w14:paraId="1D38C0E7" w14:textId="5B179766" w:rsidR="00D26CAA" w:rsidRPr="00216D20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+48 501-987-654</w:t>
            </w:r>
          </w:p>
        </w:tc>
      </w:tr>
      <w:tr w:rsidR="005F2FC1" w:rsidRPr="00216D20" w14:paraId="5D4FD0CB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1AFCC635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 poczty elektronicznej</w:t>
            </w:r>
          </w:p>
        </w:tc>
        <w:tc>
          <w:tcPr>
            <w:tcW w:w="6605" w:type="dxa"/>
            <w:gridSpan w:val="3"/>
            <w:vAlign w:val="top"/>
          </w:tcPr>
          <w:p w14:paraId="0D1E4528" w14:textId="0DCB3040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hyperlink r:id="rId9" w:history="1">
              <w:r w:rsidRPr="00CD3DD3">
                <w:rPr>
                  <w:rStyle w:val="Hipercze"/>
                  <w:rFonts w:cstheme="minorHAnsi"/>
                  <w:b/>
                  <w:sz w:val="24"/>
                  <w:szCs w:val="24"/>
                </w:rPr>
                <w:t>biuro@mdginvest.pl</w:t>
              </w:r>
            </w:hyperlink>
          </w:p>
        </w:tc>
      </w:tr>
      <w:tr w:rsidR="005F2FC1" w:rsidRPr="00216D20" w14:paraId="2A953FF3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5A09DD9A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faksu</w:t>
            </w:r>
          </w:p>
        </w:tc>
        <w:tc>
          <w:tcPr>
            <w:tcW w:w="6605" w:type="dxa"/>
            <w:gridSpan w:val="3"/>
            <w:vAlign w:val="top"/>
          </w:tcPr>
          <w:p w14:paraId="47873F53" w14:textId="4C886BD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-</w:t>
            </w:r>
          </w:p>
        </w:tc>
      </w:tr>
      <w:tr w:rsidR="005F2FC1" w:rsidRPr="00216D20" w14:paraId="7602CFDC" w14:textId="77777777" w:rsidTr="00216D20">
        <w:trPr>
          <w:trHeight w:val="612"/>
        </w:trPr>
        <w:tc>
          <w:tcPr>
            <w:tcW w:w="3176" w:type="dxa"/>
            <w:shd w:val="clear" w:color="auto" w:fill="D9D9D9"/>
            <w:vAlign w:val="top"/>
          </w:tcPr>
          <w:p w14:paraId="3AC31D3A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 strony internetowej dewelopera</w:t>
            </w:r>
          </w:p>
        </w:tc>
        <w:tc>
          <w:tcPr>
            <w:tcW w:w="6605" w:type="dxa"/>
            <w:gridSpan w:val="3"/>
            <w:vAlign w:val="top"/>
          </w:tcPr>
          <w:p w14:paraId="4F1FDADA" w14:textId="47AF8F86" w:rsidR="005F2FC1" w:rsidRPr="00CD3DD3" w:rsidRDefault="005F2FC1" w:rsidP="005F2FC1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hyperlink r:id="rId10" w:history="1">
              <w:r w:rsidRPr="00E30D4F">
                <w:rPr>
                  <w:rStyle w:val="Hipercze"/>
                  <w:rFonts w:cstheme="minorHAnsi"/>
                  <w:b/>
                  <w:sz w:val="24"/>
                  <w:szCs w:val="24"/>
                </w:rPr>
                <w:t>www.mdginvest.pl</w:t>
              </w:r>
            </w:hyperlink>
          </w:p>
          <w:p w14:paraId="6A450CA4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5F2FC1" w:rsidRPr="00216D20" w14:paraId="746AB420" w14:textId="77777777" w:rsidTr="00216D20">
        <w:trPr>
          <w:trHeight w:val="612"/>
        </w:trPr>
        <w:tc>
          <w:tcPr>
            <w:tcW w:w="9781" w:type="dxa"/>
            <w:gridSpan w:val="4"/>
            <w:shd w:val="clear" w:color="auto" w:fill="auto"/>
            <w:vAlign w:val="top"/>
          </w:tcPr>
          <w:p w14:paraId="64ED146B" w14:textId="77777777" w:rsidR="005F2FC1" w:rsidRPr="00216D20" w:rsidRDefault="005F2FC1" w:rsidP="005F2FC1">
            <w:pPr>
              <w:jc w:val="left"/>
              <w:rPr>
                <w:rFonts w:ascii="Times New Roman" w:eastAsia="Lato" w:hAnsi="Times New Roman" w:cs="Times New Roman"/>
                <w:b/>
              </w:rPr>
            </w:pPr>
          </w:p>
          <w:p w14:paraId="7635437B" w14:textId="77777777" w:rsidR="005F2FC1" w:rsidRPr="00216D20" w:rsidRDefault="005F2FC1" w:rsidP="005F2FC1">
            <w:pPr>
              <w:jc w:val="left"/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II. DOŚWIADCZENIE DEWELOPERA</w:t>
            </w:r>
          </w:p>
        </w:tc>
      </w:tr>
      <w:tr w:rsidR="005F2FC1" w:rsidRPr="00216D20" w14:paraId="0DF53AD6" w14:textId="77777777" w:rsidTr="00216D20">
        <w:trPr>
          <w:trHeight w:val="507"/>
        </w:trPr>
        <w:tc>
          <w:tcPr>
            <w:tcW w:w="9781" w:type="dxa"/>
            <w:gridSpan w:val="4"/>
            <w:shd w:val="clear" w:color="auto" w:fill="BFBFBF"/>
            <w:vAlign w:val="top"/>
          </w:tcPr>
          <w:p w14:paraId="3C8D25F0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HISTORIA I UDOKUMENTOWANE DOŚWIADCZENIE DEWELOPERA</w:t>
            </w:r>
          </w:p>
        </w:tc>
      </w:tr>
      <w:tr w:rsidR="005F2FC1" w:rsidRPr="00216D20" w14:paraId="68F5D9DD" w14:textId="77777777" w:rsidTr="00216D20">
        <w:trPr>
          <w:trHeight w:val="743"/>
        </w:trPr>
        <w:tc>
          <w:tcPr>
            <w:tcW w:w="9781" w:type="dxa"/>
            <w:gridSpan w:val="4"/>
            <w:shd w:val="clear" w:color="auto" w:fill="BFBFBF"/>
            <w:vAlign w:val="top"/>
          </w:tcPr>
          <w:p w14:paraId="13DEE4A2" w14:textId="77777777" w:rsidR="005F2FC1" w:rsidRPr="00216D20" w:rsidRDefault="005F2FC1" w:rsidP="005F2F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PRZYKŁAD UKOŃCZONEGO PRZEDSIĘWZIĘCIA DEWELOPERSKIEGO (należy wskazać (o ile istnieją) trzy ukończone przedsięwzięcia deweloperskie, w tym ostatnie)</w:t>
            </w:r>
          </w:p>
        </w:tc>
      </w:tr>
    </w:tbl>
    <w:p w14:paraId="3AB3EA46" w14:textId="77777777" w:rsidR="00D26CAA" w:rsidRPr="00216D20" w:rsidRDefault="00D26CAA" w:rsidP="00216D20">
      <w:pPr>
        <w:spacing w:after="0"/>
        <w:rPr>
          <w:rFonts w:ascii="Times New Roman" w:eastAsia="Lato" w:hAnsi="Times New Roman" w:cs="Times New Roman"/>
          <w:b/>
        </w:rPr>
      </w:pPr>
    </w:p>
    <w:tbl>
      <w:tblPr>
        <w:tblStyle w:val="3"/>
        <w:tblW w:w="9781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6"/>
        <w:gridCol w:w="6605"/>
      </w:tblGrid>
      <w:tr w:rsidR="00D26CAA" w:rsidRPr="00216D20" w14:paraId="08471C1B" w14:textId="77777777" w:rsidTr="00216D20">
        <w:trPr>
          <w:trHeight w:val="612"/>
        </w:trPr>
        <w:tc>
          <w:tcPr>
            <w:tcW w:w="3176" w:type="dxa"/>
            <w:shd w:val="clear" w:color="auto" w:fill="BFBFBF" w:themeFill="background1" w:themeFillShade="BF"/>
            <w:vAlign w:val="top"/>
          </w:tcPr>
          <w:p w14:paraId="232F43FE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67502277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16340C75" w14:textId="77777777" w:rsidTr="00216D20">
        <w:trPr>
          <w:trHeight w:val="612"/>
        </w:trPr>
        <w:tc>
          <w:tcPr>
            <w:tcW w:w="3176" w:type="dxa"/>
            <w:shd w:val="clear" w:color="auto" w:fill="BFBFBF" w:themeFill="background1" w:themeFillShade="BF"/>
            <w:vAlign w:val="top"/>
          </w:tcPr>
          <w:p w14:paraId="2B0DE85D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rozpoczęcia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4F98063C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5F12323C" w14:textId="77777777" w:rsidTr="00216D20">
        <w:trPr>
          <w:trHeight w:val="612"/>
        </w:trPr>
        <w:tc>
          <w:tcPr>
            <w:tcW w:w="3176" w:type="dxa"/>
            <w:shd w:val="clear" w:color="auto" w:fill="BFBFBF" w:themeFill="background1" w:themeFillShade="BF"/>
            <w:vAlign w:val="top"/>
          </w:tcPr>
          <w:p w14:paraId="65CEA41E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wydania ostatecznego pozwolenia na użytkowanie</w:t>
            </w:r>
          </w:p>
        </w:tc>
        <w:tc>
          <w:tcPr>
            <w:tcW w:w="6605" w:type="dxa"/>
            <w:vAlign w:val="top"/>
          </w:tcPr>
          <w:p w14:paraId="437AF4E8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13CCA965" w14:textId="77777777" w:rsidTr="00216D20">
        <w:trPr>
          <w:trHeight w:val="1452"/>
        </w:trPr>
        <w:tc>
          <w:tcPr>
            <w:tcW w:w="9781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581E0C59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lastRenderedPageBreak/>
              <w:t>PRZYKŁAD INNEGO UKOŃCZONEGO PRZEDSIĘWZIĘCIA DEWELOPERSKIEGO</w:t>
            </w:r>
          </w:p>
        </w:tc>
      </w:tr>
      <w:tr w:rsidR="00D26CAA" w:rsidRPr="00216D20" w14:paraId="2534878A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2D8B5338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550468C7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312934C8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6B408C87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rozpoczęcia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265BF741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5FF66792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14DAB107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wydania ostatecznego pozwolenia na użytkowanie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24C62140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39D2FB72" w14:textId="77777777" w:rsidTr="00216D20">
        <w:trPr>
          <w:trHeight w:val="1452"/>
        </w:trPr>
        <w:tc>
          <w:tcPr>
            <w:tcW w:w="9781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0AF02548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OSTATNIE UKOŃCZONE PRZEDSIĘWZIĘCIE DEWELOPERSKIE</w:t>
            </w:r>
          </w:p>
        </w:tc>
      </w:tr>
      <w:tr w:rsidR="00D26CAA" w:rsidRPr="00216D20" w14:paraId="3D3A0770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6E051868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54863F5F" w14:textId="7D5B94F1" w:rsidR="00D26CAA" w:rsidRPr="00216D20" w:rsidRDefault="00922FC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Ul. Fabryczna 15 B-G</w:t>
            </w:r>
            <w:r w:rsidR="006B7630">
              <w:rPr>
                <w:rFonts w:ascii="Times New Roman" w:eastAsia="Lato" w:hAnsi="Times New Roman" w:cs="Times New Roman"/>
                <w:color w:val="000000"/>
              </w:rPr>
              <w:t>, 05-092 Łomianki</w:t>
            </w:r>
          </w:p>
        </w:tc>
      </w:tr>
      <w:tr w:rsidR="00D26CAA" w:rsidRPr="00216D20" w14:paraId="7C56508D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763C2B0D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Data rozpoczęcia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7D4C89FB" w14:textId="4AE850E1" w:rsidR="00D26CAA" w:rsidRPr="00216D20" w:rsidRDefault="007B207D" w:rsidP="00216D20">
            <w:pPr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20.04.2019</w:t>
            </w:r>
          </w:p>
        </w:tc>
      </w:tr>
      <w:tr w:rsidR="00D26CAA" w:rsidRPr="00216D20" w14:paraId="59AA3909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165D207E" w14:textId="77777777" w:rsidR="00D26CAA" w:rsidRPr="007B207D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7B207D">
              <w:rPr>
                <w:rFonts w:ascii="Times New Roman" w:eastAsia="Lato" w:hAnsi="Times New Roman" w:cs="Times New Roman"/>
              </w:rPr>
              <w:t>Data wydania ostatecznego pozwolenia na użytkowanie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0DB45193" w14:textId="785737F4" w:rsidR="00D26CAA" w:rsidRPr="00216D20" w:rsidRDefault="007B207D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03.03.2022</w:t>
            </w:r>
          </w:p>
        </w:tc>
      </w:tr>
      <w:tr w:rsidR="00D26CAA" w:rsidRPr="00216D20" w14:paraId="26BAB27F" w14:textId="77777777" w:rsidTr="00216D20">
        <w:trPr>
          <w:trHeight w:val="612"/>
        </w:trPr>
        <w:tc>
          <w:tcPr>
            <w:tcW w:w="9781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top"/>
          </w:tcPr>
          <w:p w14:paraId="725AF6CB" w14:textId="77777777" w:rsidR="00D26CAA" w:rsidRPr="00216D20" w:rsidRDefault="00D26CA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26CAA" w:rsidRPr="00216D20" w14:paraId="3120C9AA" w14:textId="77777777" w:rsidTr="00216D20">
        <w:trPr>
          <w:trHeight w:val="612"/>
        </w:trPr>
        <w:tc>
          <w:tcPr>
            <w:tcW w:w="3176" w:type="dxa"/>
            <w:tcBorders>
              <w:bottom w:val="single" w:sz="4" w:space="0" w:color="000000"/>
            </w:tcBorders>
            <w:shd w:val="clear" w:color="auto" w:fill="BFBFBF" w:themeFill="background1" w:themeFillShade="BF"/>
            <w:vAlign w:val="top"/>
          </w:tcPr>
          <w:p w14:paraId="635E8994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przeciwko deweloperowi prowadzono (lub prowadzi  się) postępowania egzekucyjne na kwotę powyżej 100 000 zł</w:t>
            </w:r>
          </w:p>
        </w:tc>
        <w:tc>
          <w:tcPr>
            <w:tcW w:w="6605" w:type="dxa"/>
            <w:tcBorders>
              <w:bottom w:val="single" w:sz="4" w:space="0" w:color="000000"/>
            </w:tcBorders>
            <w:vAlign w:val="top"/>
          </w:tcPr>
          <w:p w14:paraId="3CD0CBA2" w14:textId="249ED47B" w:rsidR="00D26CAA" w:rsidRPr="00216D20" w:rsidRDefault="005F2FC1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</w:t>
            </w:r>
          </w:p>
        </w:tc>
      </w:tr>
    </w:tbl>
    <w:p w14:paraId="51E540FE" w14:textId="77777777" w:rsidR="00D26CAA" w:rsidRPr="00216D20" w:rsidRDefault="00D26CAA" w:rsidP="00216D20">
      <w:pPr>
        <w:spacing w:after="0"/>
        <w:rPr>
          <w:rFonts w:ascii="Times New Roman" w:eastAsia="Lato" w:hAnsi="Times New Roman" w:cs="Times New Roman"/>
          <w:b/>
        </w:rPr>
      </w:pPr>
    </w:p>
    <w:p w14:paraId="62FB3FFD" w14:textId="77777777" w:rsidR="00D26CAA" w:rsidRPr="00216D20" w:rsidRDefault="00D26CAA" w:rsidP="00216D20">
      <w:pPr>
        <w:spacing w:after="0"/>
        <w:rPr>
          <w:rFonts w:ascii="Times New Roman" w:eastAsia="Lato" w:hAnsi="Times New Roman" w:cs="Times New Roman"/>
          <w:b/>
        </w:rPr>
      </w:pPr>
    </w:p>
    <w:tbl>
      <w:tblPr>
        <w:tblStyle w:val="2"/>
        <w:tblW w:w="1037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5"/>
        <w:gridCol w:w="2215"/>
        <w:gridCol w:w="49"/>
        <w:gridCol w:w="2106"/>
        <w:gridCol w:w="4083"/>
      </w:tblGrid>
      <w:tr w:rsidR="00D26CAA" w:rsidRPr="00216D20" w14:paraId="4013CEB8" w14:textId="77777777" w:rsidTr="00413F25">
        <w:trPr>
          <w:trHeight w:val="612"/>
        </w:trPr>
        <w:tc>
          <w:tcPr>
            <w:tcW w:w="1037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top"/>
          </w:tcPr>
          <w:p w14:paraId="5BD2C671" w14:textId="77777777" w:rsidR="00D26CAA" w:rsidRPr="00216D20" w:rsidRDefault="006D18A4" w:rsidP="00216D20">
            <w:pPr>
              <w:spacing w:line="276" w:lineRule="auto"/>
              <w:jc w:val="left"/>
              <w:rPr>
                <w:rFonts w:ascii="Times New Roman" w:eastAsia="Lato" w:hAnsi="Times New Roman" w:cs="Times New Roman"/>
                <w:b/>
              </w:rPr>
            </w:pPr>
            <w:r w:rsidRPr="00216D20">
              <w:rPr>
                <w:rFonts w:ascii="Times New Roman" w:eastAsia="Lato" w:hAnsi="Times New Roman" w:cs="Times New Roman"/>
                <w:b/>
              </w:rPr>
              <w:t>III. INFORMACJE DOTYCZĄCE NIERUCHOMOŚCI I PRZEDSIĘWZIĘCIA DEWELOPERSKIEGO</w:t>
            </w:r>
          </w:p>
        </w:tc>
      </w:tr>
      <w:tr w:rsidR="00D26CAA" w:rsidRPr="00216D20" w14:paraId="16E90320" w14:textId="77777777" w:rsidTr="00413F25">
        <w:trPr>
          <w:trHeight w:val="799"/>
        </w:trPr>
        <w:tc>
          <w:tcPr>
            <w:tcW w:w="10378" w:type="dxa"/>
            <w:gridSpan w:val="5"/>
            <w:shd w:val="clear" w:color="auto" w:fill="BFBFBF"/>
            <w:vAlign w:val="top"/>
          </w:tcPr>
          <w:p w14:paraId="52EE3160" w14:textId="77777777" w:rsidR="00D26CAA" w:rsidRPr="00216D20" w:rsidRDefault="006D18A4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INFORMACJE DOTYCZĄCE GRUNTU</w:t>
            </w:r>
          </w:p>
        </w:tc>
      </w:tr>
      <w:tr w:rsidR="00D26CAA" w:rsidRPr="00216D20" w14:paraId="4BEAD255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4298E89" w14:textId="77777777" w:rsidR="00D26CAA" w:rsidRPr="00216D20" w:rsidRDefault="00B629CA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Adres, numer działki ewidencyjnej i numer obrębu ewidencyjnego</w:t>
            </w:r>
            <w:r w:rsidRPr="00216D20">
              <w:rPr>
                <w:rFonts w:ascii="Times New Roman" w:eastAsia="Lato" w:hAnsi="Times New Roman" w:cs="Times New Roman"/>
                <w:color w:val="000000"/>
                <w:vertAlign w:val="superscript"/>
              </w:rPr>
              <w:t xml:space="preserve"> </w:t>
            </w:r>
            <w:r w:rsidR="006D18A4" w:rsidRPr="00216D20">
              <w:rPr>
                <w:rFonts w:ascii="Times New Roman" w:eastAsia="Lato" w:hAnsi="Times New Roman" w:cs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8453" w:type="dxa"/>
            <w:gridSpan w:val="4"/>
            <w:vAlign w:val="top"/>
          </w:tcPr>
          <w:p w14:paraId="494DE22E" w14:textId="6D6B9D21" w:rsidR="00D26CAA" w:rsidRPr="00216D20" w:rsidRDefault="00D37346" w:rsidP="00216D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lang w:eastAsia="ar-SA"/>
              </w:rPr>
              <w:t xml:space="preserve">ul. </w:t>
            </w:r>
            <w:r w:rsidR="00E80B63">
              <w:rPr>
                <w:rFonts w:cstheme="minorHAnsi"/>
                <w:lang w:eastAsia="ar-SA"/>
              </w:rPr>
              <w:t>Górska 21</w:t>
            </w:r>
            <w:r w:rsidRPr="00CD3DD3">
              <w:rPr>
                <w:rFonts w:cstheme="minorHAnsi"/>
                <w:lang w:eastAsia="ar-SA"/>
              </w:rPr>
              <w:t>, 05-100 Nowy Dwór Mazowiecki, działki</w:t>
            </w:r>
            <w:r>
              <w:rPr>
                <w:rFonts w:cstheme="minorHAnsi"/>
                <w:lang w:eastAsia="ar-SA"/>
              </w:rPr>
              <w:t xml:space="preserve"> </w:t>
            </w:r>
            <w:proofErr w:type="spellStart"/>
            <w:r>
              <w:rPr>
                <w:rFonts w:cstheme="minorHAnsi"/>
                <w:lang w:eastAsia="ar-SA"/>
              </w:rPr>
              <w:t>ewid</w:t>
            </w:r>
            <w:proofErr w:type="spellEnd"/>
            <w:r>
              <w:rPr>
                <w:rFonts w:cstheme="minorHAnsi"/>
                <w:lang w:eastAsia="ar-SA"/>
              </w:rPr>
              <w:t xml:space="preserve">. nr </w:t>
            </w:r>
            <w:r w:rsidRPr="00F947B6">
              <w:rPr>
                <w:rFonts w:cstheme="minorHAnsi"/>
                <w:lang w:eastAsia="ar-SA"/>
              </w:rPr>
              <w:t>154</w:t>
            </w:r>
            <w:r w:rsidR="00F61B02">
              <w:rPr>
                <w:rFonts w:cstheme="minorHAnsi"/>
                <w:lang w:eastAsia="ar-SA"/>
              </w:rPr>
              <w:t xml:space="preserve"> </w:t>
            </w:r>
            <w:r>
              <w:rPr>
                <w:rFonts w:cstheme="minorHAnsi"/>
                <w:lang w:eastAsia="ar-SA"/>
              </w:rPr>
              <w:t xml:space="preserve"> </w:t>
            </w:r>
            <w:r w:rsidRPr="00F947B6">
              <w:rPr>
                <w:rFonts w:cstheme="minorHAnsi"/>
                <w:lang w:eastAsia="ar-SA"/>
              </w:rPr>
              <w:t>obręb 0036</w:t>
            </w:r>
            <w:r>
              <w:rPr>
                <w:rFonts w:cstheme="minorHAnsi"/>
                <w:lang w:eastAsia="ar-SA"/>
              </w:rPr>
              <w:t xml:space="preserve"> 8-10,</w:t>
            </w:r>
            <w:r w:rsidRPr="00CD3DD3">
              <w:rPr>
                <w:rFonts w:cstheme="minorHAnsi"/>
                <w:lang w:eastAsia="ar-SA"/>
              </w:rPr>
              <w:t xml:space="preserve"> Nowy Dwór Mazowiecki, jednostka ewidencyjna 14140_1</w:t>
            </w:r>
          </w:p>
        </w:tc>
      </w:tr>
      <w:tr w:rsidR="00D37346" w:rsidRPr="00216D20" w14:paraId="516A9D86" w14:textId="77777777" w:rsidTr="00413F25">
        <w:trPr>
          <w:trHeight w:val="374"/>
        </w:trPr>
        <w:tc>
          <w:tcPr>
            <w:tcW w:w="1925" w:type="dxa"/>
            <w:shd w:val="clear" w:color="auto" w:fill="D9D9D9"/>
            <w:vAlign w:val="top"/>
          </w:tcPr>
          <w:p w14:paraId="0A93D5A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księgi wieczystej</w:t>
            </w:r>
          </w:p>
        </w:tc>
        <w:tc>
          <w:tcPr>
            <w:tcW w:w="8453" w:type="dxa"/>
            <w:gridSpan w:val="4"/>
            <w:vAlign w:val="top"/>
          </w:tcPr>
          <w:p w14:paraId="647757A7" w14:textId="04EBEBFD" w:rsidR="00D37346" w:rsidRPr="00216D20" w:rsidRDefault="00D37346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CD3DD3">
              <w:rPr>
                <w:rFonts w:cstheme="minorHAnsi"/>
                <w:shd w:val="clear" w:color="auto" w:fill="FFFFFF"/>
                <w:lang w:eastAsia="ar-SA"/>
              </w:rPr>
              <w:t>WA1N/00081058/7</w:t>
            </w:r>
          </w:p>
        </w:tc>
      </w:tr>
      <w:tr w:rsidR="00D37346" w:rsidRPr="00216D20" w14:paraId="5B3B7132" w14:textId="77777777" w:rsidTr="00413F25">
        <w:trPr>
          <w:trHeight w:val="699"/>
        </w:trPr>
        <w:tc>
          <w:tcPr>
            <w:tcW w:w="1925" w:type="dxa"/>
            <w:shd w:val="clear" w:color="auto" w:fill="D9D9D9"/>
            <w:vAlign w:val="top"/>
          </w:tcPr>
          <w:p w14:paraId="022A0130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Istniejące obciążenia hipoteczne nieruchomości lub wnioski o wpis w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dziale czwartym księgi wieczystej</w:t>
            </w:r>
          </w:p>
        </w:tc>
        <w:tc>
          <w:tcPr>
            <w:tcW w:w="8453" w:type="dxa"/>
            <w:gridSpan w:val="4"/>
            <w:vAlign w:val="top"/>
          </w:tcPr>
          <w:p w14:paraId="207C4A4F" w14:textId="7D7BDE48" w:rsidR="00D37346" w:rsidRPr="00216D20" w:rsidRDefault="00D37346" w:rsidP="006B7630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D37346" w:rsidRPr="00216D20" w14:paraId="6B5A7A7F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12727A5C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 przypadku braku księgi wieczystej informacja o powierzchni działki i stanie prawnym nieruchomości</w:t>
            </w:r>
            <w:r w:rsidRPr="00216D20">
              <w:rPr>
                <w:rFonts w:ascii="Times New Roman" w:eastAsia="Lato" w:hAnsi="Times New Roman" w:cs="Times New Roman"/>
                <w:color w:val="000000"/>
                <w:vertAlign w:val="superscript"/>
              </w:rPr>
              <w:footnoteReference w:id="2"/>
            </w:r>
          </w:p>
        </w:tc>
        <w:tc>
          <w:tcPr>
            <w:tcW w:w="8453" w:type="dxa"/>
            <w:gridSpan w:val="4"/>
            <w:vAlign w:val="top"/>
          </w:tcPr>
          <w:p w14:paraId="286307C3" w14:textId="77777777" w:rsidR="00D37346" w:rsidRPr="00CD3DD3" w:rsidRDefault="00D37346" w:rsidP="00D37346">
            <w:pPr>
              <w:shd w:val="clear" w:color="auto" w:fill="FFFFFF"/>
              <w:snapToGrid w:val="0"/>
              <w:spacing w:before="30" w:line="270" w:lineRule="exact"/>
              <w:rPr>
                <w:rFonts w:cstheme="minorHAnsi"/>
                <w:shd w:val="clear" w:color="auto" w:fill="FFFF00"/>
              </w:rPr>
            </w:pPr>
          </w:p>
          <w:p w14:paraId="7A2D8553" w14:textId="77777777" w:rsidR="00D37346" w:rsidRPr="00CD3DD3" w:rsidRDefault="00D37346" w:rsidP="00D37346">
            <w:pPr>
              <w:rPr>
                <w:rFonts w:cstheme="minorHAnsi"/>
              </w:rPr>
            </w:pPr>
            <w:r w:rsidRPr="00CD3DD3">
              <w:rPr>
                <w:rFonts w:cstheme="minorHAnsi"/>
              </w:rPr>
              <w:t>Nie dotyczy</w:t>
            </w:r>
          </w:p>
          <w:p w14:paraId="4CCCE42D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D37346" w:rsidRPr="00216D20" w14:paraId="74F98F22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91A4669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Informacje dotyczące obiektów istniejących położonych w sąsiedztwie inwestycji i wpływających na warunki życia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3"/>
            </w:r>
          </w:p>
        </w:tc>
        <w:tc>
          <w:tcPr>
            <w:tcW w:w="8453" w:type="dxa"/>
            <w:gridSpan w:val="4"/>
            <w:vAlign w:val="top"/>
          </w:tcPr>
          <w:p w14:paraId="500BEFC1" w14:textId="5739C637" w:rsidR="00D37346" w:rsidRPr="00216D20" w:rsidRDefault="00413F25" w:rsidP="00960C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W bezpośrednim sąsiedztwie inwestycji nie istnieją obiekty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 xml:space="preserve"> wpływające na warunki życia, w </w:t>
            </w:r>
            <w:r w:rsidR="00A93D6B" w:rsidRPr="008E1E02">
              <w:t>szczególności obiekty generujące uciążliwości zapachowe, hałasowe, świetlne</w:t>
            </w:r>
            <w:r w:rsidR="00A93D6B">
              <w:t>. Na terenie gminy znajduje się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="00A93D6B" w:rsidRPr="00A93D6B">
              <w:rPr>
                <w:rFonts w:ascii="Times New Roman" w:eastAsia="Lato" w:hAnsi="Times New Roman" w:cs="Times New Roman"/>
                <w:color w:val="000000"/>
              </w:rPr>
              <w:t>Mazowiecki Port Lotniczy Warszawa-Modlin</w:t>
            </w:r>
          </w:p>
        </w:tc>
      </w:tr>
      <w:tr w:rsidR="00D37346" w:rsidRPr="00216D20" w14:paraId="0F1C8E75" w14:textId="77777777" w:rsidTr="00413F25">
        <w:trPr>
          <w:trHeight w:val="380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24F50B4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Akty planowania przestrzennego i inne akty prawne na terenie objętym przedsięwzięciem deweloperskim lub zadaniem inwestycyjnym</w:t>
            </w:r>
          </w:p>
        </w:tc>
        <w:tc>
          <w:tcPr>
            <w:tcW w:w="4370" w:type="dxa"/>
            <w:gridSpan w:val="3"/>
            <w:vAlign w:val="top"/>
          </w:tcPr>
          <w:p w14:paraId="67BD98D9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Studium uwarunkowań i kierunków zagospodarowania przestrzennego gminy</w:t>
            </w:r>
          </w:p>
        </w:tc>
        <w:tc>
          <w:tcPr>
            <w:tcW w:w="4083" w:type="dxa"/>
            <w:vAlign w:val="top"/>
          </w:tcPr>
          <w:p w14:paraId="6F9DADAC" w14:textId="650A2F1B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>Uchwała XIII/173/99 z dnia 1999-12-30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w sprawie uchwalenia studium uwarunkowań i kierunków zagospodarowania przestrzennego miasta Nowy Dwór Mazowiecki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https://mpzp.igeomap.pl/doc/nowydwormaz/nowydwormaz/000.pdf</w:t>
            </w:r>
          </w:p>
        </w:tc>
      </w:tr>
      <w:tr w:rsidR="00D37346" w:rsidRPr="00216D20" w14:paraId="57BD4EB8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5591D26E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56429B1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Miejscowy plan zagospodarowania przestrzennego</w:t>
            </w:r>
          </w:p>
        </w:tc>
        <w:tc>
          <w:tcPr>
            <w:tcW w:w="4083" w:type="dxa"/>
            <w:vAlign w:val="top"/>
          </w:tcPr>
          <w:p w14:paraId="5444354B" w14:textId="52BE13B2" w:rsidR="00413F25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>Uchwała XIV/154/03 z dnia 2003-12-29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w sprawie uchwalenia miejscowego planu zagospodarowania przestrzennego Miasta Nowy Dwór Mazowiecki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,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>https://mpzp.igeomap.pl/doc/nowydwormaz/nowydwormaz/003.pdf</w:t>
            </w:r>
          </w:p>
        </w:tc>
      </w:tr>
      <w:tr w:rsidR="00D37346" w:rsidRPr="00216D20" w14:paraId="5190E989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1481C5D5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518F3FD0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Miejscowy plan rewitalizacji</w:t>
            </w:r>
          </w:p>
        </w:tc>
        <w:tc>
          <w:tcPr>
            <w:tcW w:w="4083" w:type="dxa"/>
            <w:vAlign w:val="top"/>
          </w:tcPr>
          <w:p w14:paraId="7F8FFAAE" w14:textId="27695839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D37346" w:rsidRPr="00216D20" w14:paraId="495425F0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3F5BFE38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47346ED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Miejscowy plan odbudowy</w:t>
            </w:r>
          </w:p>
        </w:tc>
        <w:tc>
          <w:tcPr>
            <w:tcW w:w="4083" w:type="dxa"/>
            <w:vAlign w:val="top"/>
          </w:tcPr>
          <w:p w14:paraId="418C959B" w14:textId="0F6A58A7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D37346" w:rsidRPr="00216D20" w14:paraId="65AB34D0" w14:textId="77777777" w:rsidTr="00413F25">
        <w:trPr>
          <w:trHeight w:val="376"/>
        </w:trPr>
        <w:tc>
          <w:tcPr>
            <w:tcW w:w="1925" w:type="dxa"/>
            <w:vMerge/>
            <w:shd w:val="clear" w:color="auto" w:fill="D9D9D9"/>
            <w:vAlign w:val="top"/>
          </w:tcPr>
          <w:p w14:paraId="3C403EBB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07B35DE9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Inne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4"/>
            </w:r>
          </w:p>
        </w:tc>
        <w:tc>
          <w:tcPr>
            <w:tcW w:w="4083" w:type="dxa"/>
            <w:vAlign w:val="top"/>
          </w:tcPr>
          <w:p w14:paraId="07265C2F" w14:textId="7DD7BF41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D37346" w:rsidRPr="00216D20" w14:paraId="5B69C81B" w14:textId="77777777" w:rsidTr="00413F25">
        <w:trPr>
          <w:trHeight w:val="198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7416032D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 xml:space="preserve">Ustalenia obowiązującego miejscowego planu zagospodarowania przestrzennego dla terenu objętego przedsięwzięciem deweloperskim lub zadaniem inwestycyjnym  </w:t>
            </w:r>
          </w:p>
        </w:tc>
        <w:tc>
          <w:tcPr>
            <w:tcW w:w="4370" w:type="dxa"/>
            <w:gridSpan w:val="3"/>
            <w:vAlign w:val="top"/>
          </w:tcPr>
          <w:p w14:paraId="0B84B99B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Przeznaczenie terenu</w:t>
            </w:r>
          </w:p>
        </w:tc>
        <w:tc>
          <w:tcPr>
            <w:tcW w:w="4083" w:type="dxa"/>
            <w:vAlign w:val="top"/>
          </w:tcPr>
          <w:p w14:paraId="7DD12448" w14:textId="71FB03EA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Style w:val="Odwoaniedokomentarza1"/>
                <w:rFonts w:cstheme="minorHAnsi"/>
                <w:sz w:val="22"/>
                <w:lang w:eastAsia="ar-SA"/>
              </w:rPr>
              <w:t>1.73 MN – zabudowa</w:t>
            </w:r>
            <w:r>
              <w:rPr>
                <w:rStyle w:val="Odwoaniedokomentarza1"/>
                <w:rFonts w:cstheme="minorHAnsi"/>
                <w:sz w:val="22"/>
                <w:lang w:eastAsia="ar-SA"/>
              </w:rPr>
              <w:t xml:space="preserve"> </w:t>
            </w:r>
            <w:r w:rsidRPr="00CD3DD3">
              <w:rPr>
                <w:rStyle w:val="Odwoaniedokomentarza1"/>
                <w:rFonts w:cstheme="minorHAnsi"/>
                <w:sz w:val="22"/>
                <w:lang w:eastAsia="ar-SA"/>
              </w:rPr>
              <w:t>mieszkaniowa jednorodzinna</w:t>
            </w:r>
          </w:p>
        </w:tc>
      </w:tr>
      <w:tr w:rsidR="00D37346" w:rsidRPr="00216D20" w14:paraId="49B89F9F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042E87A8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0816F55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Maksymalna i minimalna intensywność zabudowy</w:t>
            </w:r>
          </w:p>
        </w:tc>
        <w:tc>
          <w:tcPr>
            <w:tcW w:w="4083" w:type="dxa"/>
            <w:vAlign w:val="top"/>
          </w:tcPr>
          <w:p w14:paraId="73CE3AF4" w14:textId="50B4A7BD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D37346" w:rsidRPr="00216D20" w14:paraId="0391FC2E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4AD06FB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395A172B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Maksymalna wysokość zabudowy</w:t>
            </w:r>
          </w:p>
        </w:tc>
        <w:tc>
          <w:tcPr>
            <w:tcW w:w="4083" w:type="dxa"/>
            <w:vAlign w:val="top"/>
          </w:tcPr>
          <w:p w14:paraId="5037B119" w14:textId="7A9AA72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shd w:val="clear" w:color="auto" w:fill="FFFFFF"/>
                <w:lang w:eastAsia="ar-SA"/>
              </w:rPr>
              <w:t>W nawiązaniu do wysokości sąsiedniej zabudowy – brak wyraźnego ustalenia</w:t>
            </w:r>
          </w:p>
        </w:tc>
      </w:tr>
      <w:tr w:rsidR="00D37346" w:rsidRPr="00216D20" w14:paraId="420CD509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12841A00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70E628B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Minimalny udział procentowy powierzchni biologicznie czynnej</w:t>
            </w:r>
          </w:p>
        </w:tc>
        <w:tc>
          <w:tcPr>
            <w:tcW w:w="4083" w:type="dxa"/>
            <w:vAlign w:val="top"/>
          </w:tcPr>
          <w:p w14:paraId="48B4256E" w14:textId="498A37B4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50%</w:t>
            </w:r>
          </w:p>
        </w:tc>
      </w:tr>
      <w:tr w:rsidR="00D37346" w:rsidRPr="00216D20" w14:paraId="143EFAA3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01559F9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4CD7940E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Minimalna liczba miejsc do parkowania</w:t>
            </w:r>
          </w:p>
        </w:tc>
        <w:tc>
          <w:tcPr>
            <w:tcW w:w="4083" w:type="dxa"/>
            <w:vAlign w:val="top"/>
          </w:tcPr>
          <w:p w14:paraId="0557CC22" w14:textId="38DD67E9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D37346" w:rsidRPr="00216D20" w14:paraId="3B290865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4F22013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695E8E2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ochrony środowiska i zdrowia ludzi, przyrody i krajobrazu</w:t>
            </w:r>
          </w:p>
        </w:tc>
        <w:tc>
          <w:tcPr>
            <w:tcW w:w="4083" w:type="dxa"/>
            <w:vAlign w:val="top"/>
          </w:tcPr>
          <w:p w14:paraId="201405A3" w14:textId="415ED674" w:rsidR="00D37346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D37346" w:rsidRPr="00216D20" w14:paraId="64FEC001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3033DDC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50D052B7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4083" w:type="dxa"/>
            <w:vAlign w:val="top"/>
          </w:tcPr>
          <w:p w14:paraId="6302297E" w14:textId="20E8284B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D37346" w:rsidRPr="00216D20" w14:paraId="7A35197B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1C18E286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01B6E156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ochrony dziedzictwa kulturowego i zabytków oraz dóbr kultury współczesnej</w:t>
            </w:r>
          </w:p>
        </w:tc>
        <w:tc>
          <w:tcPr>
            <w:tcW w:w="4083" w:type="dxa"/>
            <w:vAlign w:val="top"/>
          </w:tcPr>
          <w:p w14:paraId="5FEF4BA0" w14:textId="055E8623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D37346" w:rsidRPr="00216D20" w14:paraId="77D78AD9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621F8B27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F2A4097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4083" w:type="dxa"/>
            <w:vAlign w:val="top"/>
          </w:tcPr>
          <w:p w14:paraId="42FCD080" w14:textId="164CABBB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D37346" w:rsidRPr="00216D20" w14:paraId="4778143D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22F6AA8F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BF9F003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i szczegółowe zasady obsługi w zakresie komunikacji</w:t>
            </w:r>
          </w:p>
        </w:tc>
        <w:tc>
          <w:tcPr>
            <w:tcW w:w="4083" w:type="dxa"/>
            <w:vAlign w:val="top"/>
          </w:tcPr>
          <w:p w14:paraId="6E79888A" w14:textId="26273E9E" w:rsidR="00D37346" w:rsidRPr="00216D20" w:rsidRDefault="00413F2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>zasady obsługi komunikacyjnej według Rozdziału V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 MPZP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>, którego wydruk stanowi załącznik do prospektu</w:t>
            </w:r>
          </w:p>
        </w:tc>
      </w:tr>
      <w:tr w:rsidR="00D37346" w:rsidRPr="00216D20" w14:paraId="19CFE6C8" w14:textId="77777777" w:rsidTr="00413F25">
        <w:trPr>
          <w:trHeight w:val="195"/>
        </w:trPr>
        <w:tc>
          <w:tcPr>
            <w:tcW w:w="1925" w:type="dxa"/>
            <w:vMerge/>
            <w:shd w:val="clear" w:color="auto" w:fill="D9D9D9"/>
            <w:vAlign w:val="top"/>
          </w:tcPr>
          <w:p w14:paraId="64AD369C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4370" w:type="dxa"/>
            <w:gridSpan w:val="3"/>
            <w:vAlign w:val="top"/>
          </w:tcPr>
          <w:p w14:paraId="6414DF54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Warunki i szczegółowe zasady obsługi w zakresie infrastruktury technicznej</w:t>
            </w:r>
          </w:p>
        </w:tc>
        <w:tc>
          <w:tcPr>
            <w:tcW w:w="4083" w:type="dxa"/>
            <w:vAlign w:val="top"/>
          </w:tcPr>
          <w:p w14:paraId="0FC87F7F" w14:textId="43CE542C" w:rsidR="00D37346" w:rsidRPr="00216D20" w:rsidRDefault="00413F25" w:rsidP="00413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413F25">
              <w:rPr>
                <w:rFonts w:ascii="Times New Roman" w:eastAsia="Lato" w:hAnsi="Times New Roman" w:cs="Times New Roman"/>
                <w:color w:val="000000"/>
              </w:rPr>
              <w:t xml:space="preserve">zasady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t>obsługi w zakresie infrastruktury technicznej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Lato" w:hAnsi="Times New Roman" w:cs="Times New Roman"/>
                <w:color w:val="000000"/>
              </w:rPr>
              <w:t xml:space="preserve">na zasadach ogólnych </w:t>
            </w:r>
            <w:r w:rsidRPr="00413F25">
              <w:rPr>
                <w:rFonts w:ascii="Times New Roman" w:eastAsia="Lato" w:hAnsi="Times New Roman" w:cs="Times New Roman"/>
                <w:color w:val="000000"/>
              </w:rPr>
              <w:t xml:space="preserve">według Rozdziału VI </w:t>
            </w:r>
            <w:r>
              <w:rPr>
                <w:rFonts w:ascii="Times New Roman" w:eastAsia="Lato" w:hAnsi="Times New Roman" w:cs="Times New Roman"/>
                <w:color w:val="000000"/>
              </w:rPr>
              <w:t>MPZP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>, którego wydruk stanowi załącznik do prospektu</w:t>
            </w:r>
          </w:p>
        </w:tc>
      </w:tr>
      <w:tr w:rsidR="00D37346" w:rsidRPr="00216D20" w14:paraId="0235EB19" w14:textId="77777777" w:rsidTr="00413F25">
        <w:trPr>
          <w:trHeight w:val="697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57D5509C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0" w:name="_heading=h.gjdgxs" w:colFirst="0" w:colLast="0"/>
            <w:bookmarkEnd w:id="0"/>
            <w:r w:rsidRPr="00216D20">
              <w:rPr>
                <w:rFonts w:ascii="Times New Roman" w:eastAsia="Lato" w:hAnsi="Times New Roman" w:cs="Times New Roman"/>
                <w:color w:val="000000"/>
              </w:rPr>
              <w:t>Ustalenia obowiązującego miejscowego planu zagospodarowania przestrzennego dla działek lub ich fragmentów, znajdujących się w odległości do 100 m od granicy terenu objętego przedsięwzięciem deweloperskim lub zadaniem inwestycyjnym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5"/>
            </w:r>
          </w:p>
        </w:tc>
        <w:tc>
          <w:tcPr>
            <w:tcW w:w="2215" w:type="dxa"/>
            <w:vAlign w:val="top"/>
          </w:tcPr>
          <w:p w14:paraId="2D82553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Przeznaczenie terenu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3996C1E1" w14:textId="77777777" w:rsid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A93D6B">
              <w:rPr>
                <w:rFonts w:ascii="Times New Roman" w:eastAsia="Lato" w:hAnsi="Times New Roman" w:cs="Times New Roman"/>
              </w:rPr>
              <w:t>1.73MN</w:t>
            </w:r>
            <w:r>
              <w:rPr>
                <w:rFonts w:ascii="Times New Roman" w:eastAsia="Lato" w:hAnsi="Times New Roman" w:cs="Times New Roman"/>
              </w:rPr>
              <w:t xml:space="preserve"> – teren </w:t>
            </w:r>
            <w:r w:rsidRPr="00A93D6B">
              <w:rPr>
                <w:rFonts w:ascii="Times New Roman" w:eastAsia="Lato" w:hAnsi="Times New Roman" w:cs="Times New Roman"/>
              </w:rPr>
              <w:t>o podstawowym przeznaczeniu jako tereny zabudowy mieszkaniowej jednorodzinnej</w:t>
            </w:r>
          </w:p>
          <w:p w14:paraId="7C0C62C4" w14:textId="53031DB0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D37346" w:rsidRPr="00216D20" w14:paraId="582F8D6C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6988D527" w14:textId="77777777" w:rsidR="00D37346" w:rsidRPr="00216D20" w:rsidRDefault="00D37346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4166266A" w14:textId="77777777" w:rsidR="00D37346" w:rsidRPr="00216D20" w:rsidRDefault="00D37346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Maksymalna i minimalna intensywność zabudowy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06DC9AE9" w14:textId="0953B636" w:rsidR="00D37346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A93D6B" w:rsidRPr="00216D20" w14:paraId="4EE727B9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33514B97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</w:p>
        </w:tc>
        <w:tc>
          <w:tcPr>
            <w:tcW w:w="2215" w:type="dxa"/>
            <w:vAlign w:val="top"/>
          </w:tcPr>
          <w:p w14:paraId="50CDB42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Maksymalna wysokość zabudowy </w:t>
            </w:r>
          </w:p>
        </w:tc>
        <w:tc>
          <w:tcPr>
            <w:tcW w:w="6238" w:type="dxa"/>
            <w:gridSpan w:val="3"/>
            <w:vAlign w:val="top"/>
          </w:tcPr>
          <w:p w14:paraId="7E84FCE7" w14:textId="22AE8719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CD3DD3">
              <w:rPr>
                <w:rFonts w:cstheme="minorHAnsi"/>
                <w:shd w:val="clear" w:color="auto" w:fill="FFFFFF"/>
                <w:lang w:eastAsia="ar-SA"/>
              </w:rPr>
              <w:t>W nawiązaniu do wysokości sąsiedniej zabudowy – brak wyraźnego ustalenia</w:t>
            </w:r>
          </w:p>
        </w:tc>
      </w:tr>
      <w:tr w:rsidR="00A93D6B" w:rsidRPr="00216D20" w14:paraId="77918F66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14EBBD26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</w:p>
        </w:tc>
        <w:tc>
          <w:tcPr>
            <w:tcW w:w="2215" w:type="dxa"/>
            <w:vAlign w:val="top"/>
          </w:tcPr>
          <w:p w14:paraId="32C4259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Minimalny udział procentowy powierzchni biologicznie czynnej</w:t>
            </w:r>
          </w:p>
        </w:tc>
        <w:tc>
          <w:tcPr>
            <w:tcW w:w="6238" w:type="dxa"/>
            <w:gridSpan w:val="3"/>
            <w:vAlign w:val="top"/>
          </w:tcPr>
          <w:p w14:paraId="29E2A99C" w14:textId="3238A06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50%</w:t>
            </w:r>
          </w:p>
        </w:tc>
      </w:tr>
      <w:tr w:rsidR="00A93D6B" w:rsidRPr="00216D20" w14:paraId="2C76C735" w14:textId="77777777" w:rsidTr="00413F25">
        <w:trPr>
          <w:trHeight w:val="697"/>
        </w:trPr>
        <w:tc>
          <w:tcPr>
            <w:tcW w:w="1925" w:type="dxa"/>
            <w:vMerge/>
            <w:shd w:val="clear" w:color="auto" w:fill="D9D9D9"/>
            <w:vAlign w:val="top"/>
          </w:tcPr>
          <w:p w14:paraId="26373212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</w:p>
        </w:tc>
        <w:tc>
          <w:tcPr>
            <w:tcW w:w="2215" w:type="dxa"/>
            <w:vAlign w:val="top"/>
          </w:tcPr>
          <w:p w14:paraId="2E88935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Minimalna liczba miejsc do parkowania</w:t>
            </w:r>
          </w:p>
        </w:tc>
        <w:tc>
          <w:tcPr>
            <w:tcW w:w="6238" w:type="dxa"/>
            <w:gridSpan w:val="3"/>
            <w:vAlign w:val="top"/>
          </w:tcPr>
          <w:p w14:paraId="4888356F" w14:textId="5FFCEB52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 USTALEŃ</w:t>
            </w:r>
          </w:p>
        </w:tc>
      </w:tr>
      <w:tr w:rsidR="00A93D6B" w:rsidRPr="00216D20" w14:paraId="55D15F6E" w14:textId="77777777" w:rsidTr="00413F25">
        <w:trPr>
          <w:trHeight w:val="697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63C4F499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216D20">
              <w:rPr>
                <w:rFonts w:ascii="Times New Roman" w:hAnsi="Times New Roman" w:cs="Times New Roman"/>
              </w:rPr>
              <w:t xml:space="preserve">Ustalenia decyzji o warunkach zabudowy albo decyzji o ustaleniu </w:t>
            </w:r>
            <w:r w:rsidRPr="00216D20">
              <w:rPr>
                <w:rFonts w:ascii="Times New Roman" w:hAnsi="Times New Roman" w:cs="Times New Roman"/>
              </w:rPr>
              <w:lastRenderedPageBreak/>
              <w:t>lokalizacji inwestycji celu publicznego dla terenu objętego przedsięwzięciem deweloperskim lub zadaniem inwestycyjnym w przypadku braku miejscowego planu zagospodarowania przestrzennego</w:t>
            </w:r>
          </w:p>
        </w:tc>
        <w:tc>
          <w:tcPr>
            <w:tcW w:w="2215" w:type="dxa"/>
            <w:vAlign w:val="top"/>
          </w:tcPr>
          <w:p w14:paraId="15E8823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>Funkcja zabudowy i zagospodarowania terenu</w:t>
            </w:r>
          </w:p>
        </w:tc>
        <w:tc>
          <w:tcPr>
            <w:tcW w:w="6238" w:type="dxa"/>
            <w:gridSpan w:val="3"/>
            <w:vAlign w:val="top"/>
          </w:tcPr>
          <w:p w14:paraId="13D7B89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Sposób użytkowania obiektów budowlanych oraz zagospodarowania terenu</w:t>
            </w:r>
          </w:p>
        </w:tc>
      </w:tr>
      <w:tr w:rsidR="00A93D6B" w:rsidRPr="00216D20" w14:paraId="3D422B8C" w14:textId="77777777" w:rsidTr="00413F25">
        <w:trPr>
          <w:trHeight w:val="212"/>
        </w:trPr>
        <w:tc>
          <w:tcPr>
            <w:tcW w:w="1925" w:type="dxa"/>
            <w:vMerge/>
            <w:shd w:val="clear" w:color="auto" w:fill="D9D9D9"/>
            <w:vAlign w:val="top"/>
          </w:tcPr>
          <w:p w14:paraId="5C46F259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3" w:type="dxa"/>
            <w:gridSpan w:val="4"/>
            <w:vAlign w:val="top"/>
          </w:tcPr>
          <w:p w14:paraId="28CC360C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Cechy zabudowy i zagospodarowania terenu</w:t>
            </w:r>
          </w:p>
        </w:tc>
      </w:tr>
      <w:tr w:rsidR="00A93D6B" w:rsidRPr="00216D20" w14:paraId="3009B8F0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2E8D74C0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3C4A9E5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Gabaryty</w:t>
            </w:r>
          </w:p>
        </w:tc>
        <w:tc>
          <w:tcPr>
            <w:tcW w:w="6189" w:type="dxa"/>
            <w:gridSpan w:val="2"/>
            <w:vAlign w:val="top"/>
          </w:tcPr>
          <w:p w14:paraId="2AB655E3" w14:textId="64E2AD72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719A6AA6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00089001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63892E6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forma architektoniczna</w:t>
            </w:r>
          </w:p>
        </w:tc>
        <w:tc>
          <w:tcPr>
            <w:tcW w:w="6189" w:type="dxa"/>
            <w:gridSpan w:val="2"/>
            <w:vAlign w:val="top"/>
          </w:tcPr>
          <w:p w14:paraId="20C646E4" w14:textId="6724CFF8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5F7B1EB6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4BFA49A1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BE791E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usytuowanie linii zabudowy</w:t>
            </w:r>
          </w:p>
        </w:tc>
        <w:tc>
          <w:tcPr>
            <w:tcW w:w="6189" w:type="dxa"/>
            <w:gridSpan w:val="2"/>
            <w:vAlign w:val="top"/>
          </w:tcPr>
          <w:p w14:paraId="5DD56B1D" w14:textId="0A4B49F8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0FA0DDC2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11560A88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2CDEB1CA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intensywność wykorzystania terenu</w:t>
            </w:r>
          </w:p>
        </w:tc>
        <w:tc>
          <w:tcPr>
            <w:tcW w:w="6189" w:type="dxa"/>
            <w:gridSpan w:val="2"/>
            <w:vAlign w:val="top"/>
          </w:tcPr>
          <w:p w14:paraId="76575691" w14:textId="05615FA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6F5DCA03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2968104D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184635FD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ochrony środowiska i zdrowia ludzi, przyrody i krajobrazu</w:t>
            </w:r>
          </w:p>
        </w:tc>
        <w:tc>
          <w:tcPr>
            <w:tcW w:w="6189" w:type="dxa"/>
            <w:gridSpan w:val="2"/>
            <w:vAlign w:val="top"/>
          </w:tcPr>
          <w:p w14:paraId="5891E07C" w14:textId="039F31C2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1F7A25CD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7C1BD48A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2B5B149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6189" w:type="dxa"/>
            <w:gridSpan w:val="2"/>
            <w:vAlign w:val="top"/>
          </w:tcPr>
          <w:p w14:paraId="1F5F20CD" w14:textId="0D4499C6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1C691377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2C08EE55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6DAC09F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ochrony dziedzictwa kulturowego i zabytków oraz dóbr kultury współczesnej</w:t>
            </w:r>
          </w:p>
        </w:tc>
        <w:tc>
          <w:tcPr>
            <w:tcW w:w="6189" w:type="dxa"/>
            <w:gridSpan w:val="2"/>
            <w:vAlign w:val="top"/>
          </w:tcPr>
          <w:p w14:paraId="7C06654C" w14:textId="1BCC008C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277B2813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061C83A4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EF2E20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6189" w:type="dxa"/>
            <w:gridSpan w:val="2"/>
            <w:vAlign w:val="top"/>
          </w:tcPr>
          <w:p w14:paraId="16D5E9E8" w14:textId="7C3DB680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7687DFCC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3ABD1C9F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3FFD0B0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i szczegółowe zasady obsługi w zakresie komunikacji</w:t>
            </w:r>
          </w:p>
        </w:tc>
        <w:tc>
          <w:tcPr>
            <w:tcW w:w="6189" w:type="dxa"/>
            <w:gridSpan w:val="2"/>
            <w:vAlign w:val="top"/>
          </w:tcPr>
          <w:p w14:paraId="07F5AA03" w14:textId="668F3CD1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6D3F7FCB" w14:textId="77777777" w:rsidTr="00413F25">
        <w:trPr>
          <w:trHeight w:val="208"/>
        </w:trPr>
        <w:tc>
          <w:tcPr>
            <w:tcW w:w="1925" w:type="dxa"/>
            <w:vMerge/>
            <w:shd w:val="clear" w:color="auto" w:fill="D9D9D9"/>
            <w:vAlign w:val="top"/>
          </w:tcPr>
          <w:p w14:paraId="55A1837A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303DCE9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warunki i szczegółowe zasady obsługi w zakresie infrastruktury technicznej</w:t>
            </w:r>
          </w:p>
        </w:tc>
        <w:tc>
          <w:tcPr>
            <w:tcW w:w="6189" w:type="dxa"/>
            <w:gridSpan w:val="2"/>
            <w:vAlign w:val="top"/>
          </w:tcPr>
          <w:p w14:paraId="4E2B4694" w14:textId="201D028F" w:rsidR="00A93D6B" w:rsidRPr="00216D20" w:rsidRDefault="00A93D6B" w:rsidP="00D37346">
            <w:pP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  <w:tr w:rsidR="00A93D6B" w:rsidRPr="00216D20" w14:paraId="4453ED35" w14:textId="77777777" w:rsidTr="00413F25">
        <w:trPr>
          <w:trHeight w:val="139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38167B6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1" w:name="_heading=h.1fob9te" w:colFirst="0" w:colLast="0"/>
            <w:bookmarkEnd w:id="1"/>
            <w:r w:rsidRPr="00216D20">
              <w:rPr>
                <w:rFonts w:ascii="Times New Roman" w:hAnsi="Times New Roman" w:cs="Times New Roman"/>
              </w:rPr>
              <w:t>Informacje dotyczące przewidzianych inwestycji w promieniu 1 km od terenu objętego przedsięwzięciem deweloperskim lub zadaniem inwestycyjnym</w:t>
            </w:r>
            <w:r w:rsidRPr="00216D20">
              <w:rPr>
                <w:rStyle w:val="Odwoanieprzypisudolnego"/>
                <w:rFonts w:ascii="Times New Roman" w:hAnsi="Times New Roman" w:cs="Times New Roman"/>
              </w:rPr>
              <w:footnoteReference w:id="6"/>
            </w:r>
            <w:r w:rsidRPr="00216D20">
              <w:rPr>
                <w:rFonts w:ascii="Times New Roman" w:hAnsi="Times New Roman" w:cs="Times New Roman"/>
              </w:rPr>
              <w:t>, zawarte w:</w:t>
            </w:r>
          </w:p>
        </w:tc>
        <w:tc>
          <w:tcPr>
            <w:tcW w:w="2264" w:type="dxa"/>
            <w:gridSpan w:val="2"/>
            <w:vAlign w:val="top"/>
          </w:tcPr>
          <w:p w14:paraId="518893DA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miejscowych planach zagospodarowania przestrzennego</w:t>
            </w:r>
          </w:p>
        </w:tc>
        <w:tc>
          <w:tcPr>
            <w:tcW w:w="6189" w:type="dxa"/>
            <w:gridSpan w:val="2"/>
            <w:vAlign w:val="top"/>
          </w:tcPr>
          <w:p w14:paraId="7F9CFAF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40E167FF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62BFD54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46517FF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studium uwarunkowań i kierunków zagospodarowania przestrzennego gminy</w:t>
            </w:r>
          </w:p>
        </w:tc>
        <w:tc>
          <w:tcPr>
            <w:tcW w:w="6189" w:type="dxa"/>
            <w:gridSpan w:val="2"/>
            <w:vAlign w:val="top"/>
          </w:tcPr>
          <w:p w14:paraId="6556755D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79263F9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25F7B1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440269A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decyzjach o warunkach zabudowy i zagospodarowania terenu</w:t>
            </w:r>
          </w:p>
        </w:tc>
        <w:tc>
          <w:tcPr>
            <w:tcW w:w="6189" w:type="dxa"/>
            <w:gridSpan w:val="2"/>
            <w:vAlign w:val="top"/>
          </w:tcPr>
          <w:p w14:paraId="2B9B8036" w14:textId="1AFDE89A" w:rsidR="00A93D6B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729193CC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611FE7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4B5B8E6B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decyzjach o środowiskowych uwarunkowaniach</w:t>
            </w:r>
          </w:p>
        </w:tc>
        <w:tc>
          <w:tcPr>
            <w:tcW w:w="6189" w:type="dxa"/>
            <w:gridSpan w:val="2"/>
            <w:vAlign w:val="top"/>
          </w:tcPr>
          <w:p w14:paraId="3EA0EE13" w14:textId="0F7F31F8" w:rsidR="00A93D6B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 xml:space="preserve">1. decyzja z dnia 28.02.2023 r. polegająca na </w:t>
            </w:r>
            <w:r w:rsidR="00971C1B">
              <w:rPr>
                <w:rFonts w:ascii="Times New Roman" w:eastAsia="Lato" w:hAnsi="Times New Roman" w:cs="Times New Roman"/>
              </w:rPr>
              <w:t>zwiększeniu</w:t>
            </w:r>
            <w:r>
              <w:rPr>
                <w:rFonts w:ascii="Times New Roman" w:eastAsia="Lato" w:hAnsi="Times New Roman" w:cs="Times New Roman"/>
              </w:rPr>
              <w:t xml:space="preserve"> wielkości produkcji mieszanki mineralno-asfaltowej oraz zastosowaniu wymiennie dwóch paliw do zasilania instalacji wytwórni mas bitumicznych przy ul. Przemysłowej 1 w Nowym Dworze Mazowieckim</w:t>
            </w:r>
          </w:p>
          <w:p w14:paraId="12737664" w14:textId="2DF27BB0" w:rsidR="00DF7400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 xml:space="preserve">2. decyzja z dnia 10.01.2022 r. dotycząca budowy sieci wodociągowej magistralnej w ul. Dębowej, Leśnej, Małej. </w:t>
            </w:r>
          </w:p>
        </w:tc>
      </w:tr>
      <w:tr w:rsidR="00A93D6B" w:rsidRPr="00216D20" w14:paraId="18C7172E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55DFDF29" w14:textId="3EDA22F9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8811106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uchwałach o obszarach ograniczonego użytkowania</w:t>
            </w:r>
          </w:p>
        </w:tc>
        <w:tc>
          <w:tcPr>
            <w:tcW w:w="6189" w:type="dxa"/>
            <w:gridSpan w:val="2"/>
            <w:vAlign w:val="top"/>
          </w:tcPr>
          <w:p w14:paraId="5A76C096" w14:textId="4A7FE508" w:rsidR="00A93D6B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1D0A1344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8D10DA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704FC7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miejscowych planach odbudowy</w:t>
            </w:r>
          </w:p>
        </w:tc>
        <w:tc>
          <w:tcPr>
            <w:tcW w:w="6189" w:type="dxa"/>
            <w:gridSpan w:val="2"/>
            <w:vAlign w:val="top"/>
          </w:tcPr>
          <w:p w14:paraId="1555F0F8" w14:textId="2782326F" w:rsidR="00A93D6B" w:rsidRPr="00216D20" w:rsidRDefault="00DF7400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03FF10F1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691E1E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45936E32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mapach zagrożenia powodziowego i mapach ryzyka powodziowego</w:t>
            </w:r>
          </w:p>
        </w:tc>
        <w:tc>
          <w:tcPr>
            <w:tcW w:w="6189" w:type="dxa"/>
            <w:gridSpan w:val="2"/>
            <w:vAlign w:val="top"/>
          </w:tcPr>
          <w:p w14:paraId="43F75EDD" w14:textId="425F59B7" w:rsidR="00A93D6B" w:rsidRPr="00216D20" w:rsidRDefault="00D443A5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499AAE9D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6B399A0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453" w:type="dxa"/>
            <w:gridSpan w:val="4"/>
            <w:vAlign w:val="top"/>
          </w:tcPr>
          <w:p w14:paraId="1BD8073F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Ustalenia decyzji w zakresie rozmieszczenia inwestycji celu publicznego, mogące mieć znaczenie dla terenu objętego przedsięwzięciem deweloperskim lub zadaniem inwestycyjnym:</w:t>
            </w:r>
          </w:p>
        </w:tc>
      </w:tr>
      <w:tr w:rsidR="00A93D6B" w:rsidRPr="00216D20" w14:paraId="04037AF0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4E2995C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2C62C2FD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zezwoleniu na realizację inwestycji drogowej</w:t>
            </w:r>
          </w:p>
        </w:tc>
        <w:tc>
          <w:tcPr>
            <w:tcW w:w="6189" w:type="dxa"/>
            <w:gridSpan w:val="2"/>
            <w:vAlign w:val="top"/>
          </w:tcPr>
          <w:p w14:paraId="63DF2E63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2FD8C17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48FFD0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2EB36C8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linii kolejowej</w:t>
            </w:r>
          </w:p>
        </w:tc>
        <w:tc>
          <w:tcPr>
            <w:tcW w:w="6189" w:type="dxa"/>
            <w:gridSpan w:val="2"/>
            <w:vAlign w:val="top"/>
          </w:tcPr>
          <w:p w14:paraId="44A181CE" w14:textId="02D9DDF3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0FBAE501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53F3F01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04DD8B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zezwoleniu na realizację inwestycji w zakresie lotniska użytku publicznego</w:t>
            </w:r>
          </w:p>
        </w:tc>
        <w:tc>
          <w:tcPr>
            <w:tcW w:w="6189" w:type="dxa"/>
            <w:gridSpan w:val="2"/>
            <w:vAlign w:val="top"/>
          </w:tcPr>
          <w:p w14:paraId="557F4D07" w14:textId="44B7C9F9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66243461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0FF01A9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938509F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pozwoleniu na realizację inwestycji w zakresie budowli przeciwpowodziowych</w:t>
            </w:r>
          </w:p>
        </w:tc>
        <w:tc>
          <w:tcPr>
            <w:tcW w:w="6189" w:type="dxa"/>
            <w:gridSpan w:val="2"/>
            <w:vAlign w:val="top"/>
          </w:tcPr>
          <w:p w14:paraId="5079A7B9" w14:textId="60A21E4E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295543E5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5FA54B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3F90C46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inwestycji w zakresie budowy obiektu energetyki jądrowe</w:t>
            </w:r>
          </w:p>
        </w:tc>
        <w:tc>
          <w:tcPr>
            <w:tcW w:w="6189" w:type="dxa"/>
            <w:gridSpan w:val="2"/>
            <w:vAlign w:val="top"/>
          </w:tcPr>
          <w:p w14:paraId="2FCB67AE" w14:textId="4D792A50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7E8C1E0C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471A7F2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E8E037E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strategicznej inwestycji w zakresie sieci przesyłowej</w:t>
            </w:r>
          </w:p>
        </w:tc>
        <w:tc>
          <w:tcPr>
            <w:tcW w:w="6189" w:type="dxa"/>
            <w:gridSpan w:val="2"/>
            <w:vAlign w:val="top"/>
          </w:tcPr>
          <w:p w14:paraId="0928D550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73300EDF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6069B73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52A6480A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decyzja o ustaleniu lokalizacji regionalnej </w:t>
            </w:r>
            <w:r w:rsidRPr="00216D20">
              <w:rPr>
                <w:rFonts w:ascii="Times New Roman" w:hAnsi="Times New Roman" w:cs="Times New Roman"/>
              </w:rPr>
              <w:lastRenderedPageBreak/>
              <w:t>sieci szerokopasmowej</w:t>
            </w:r>
          </w:p>
        </w:tc>
        <w:tc>
          <w:tcPr>
            <w:tcW w:w="6189" w:type="dxa"/>
            <w:gridSpan w:val="2"/>
            <w:vAlign w:val="top"/>
          </w:tcPr>
          <w:p w14:paraId="50269507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3E23B863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15B77F5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3B9D1009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inwestycji w zakresie Centralnego Portu Komunikacyjnego</w:t>
            </w:r>
          </w:p>
        </w:tc>
        <w:tc>
          <w:tcPr>
            <w:tcW w:w="6189" w:type="dxa"/>
            <w:gridSpan w:val="2"/>
            <w:vAlign w:val="top"/>
          </w:tcPr>
          <w:p w14:paraId="137D0489" w14:textId="4D99DE65" w:rsidR="00A93D6B" w:rsidRPr="00216D20" w:rsidRDefault="00F92E3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4F023D05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7B6585C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0CA1F0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zezwoleniu na realizację inwestycji w zakresie infrastruktury dostępowej</w:t>
            </w:r>
          </w:p>
        </w:tc>
        <w:tc>
          <w:tcPr>
            <w:tcW w:w="6189" w:type="dxa"/>
            <w:gridSpan w:val="2"/>
            <w:vAlign w:val="top"/>
          </w:tcPr>
          <w:p w14:paraId="651418A4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987D850" w14:textId="77777777" w:rsidTr="00413F25">
        <w:trPr>
          <w:trHeight w:val="133"/>
        </w:trPr>
        <w:tc>
          <w:tcPr>
            <w:tcW w:w="1925" w:type="dxa"/>
            <w:vMerge/>
            <w:shd w:val="clear" w:color="auto" w:fill="D9D9D9"/>
            <w:vAlign w:val="top"/>
          </w:tcPr>
          <w:p w14:paraId="23EBCE4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gridSpan w:val="2"/>
            <w:vAlign w:val="top"/>
          </w:tcPr>
          <w:p w14:paraId="285504A9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decyzja o ustaleniu lokalizacji strategicznej inwestycji w sektorze naftowym</w:t>
            </w:r>
          </w:p>
        </w:tc>
        <w:tc>
          <w:tcPr>
            <w:tcW w:w="6189" w:type="dxa"/>
            <w:gridSpan w:val="2"/>
            <w:vAlign w:val="top"/>
          </w:tcPr>
          <w:p w14:paraId="60A087D5" w14:textId="66AE14A7" w:rsidR="00A93D6B" w:rsidRPr="00216D20" w:rsidRDefault="00022DEE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Brak</w:t>
            </w:r>
          </w:p>
        </w:tc>
      </w:tr>
      <w:tr w:rsidR="00A93D6B" w:rsidRPr="00216D20" w14:paraId="0DAD0D0A" w14:textId="77777777" w:rsidTr="00413F25">
        <w:trPr>
          <w:trHeight w:val="612"/>
        </w:trPr>
        <w:tc>
          <w:tcPr>
            <w:tcW w:w="10378" w:type="dxa"/>
            <w:gridSpan w:val="5"/>
            <w:tcBorders>
              <w:bottom w:val="single" w:sz="4" w:space="0" w:color="000000"/>
            </w:tcBorders>
            <w:shd w:val="clear" w:color="auto" w:fill="BFBFBF"/>
            <w:vAlign w:val="top"/>
          </w:tcPr>
          <w:p w14:paraId="3B82380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INFORMACJE DOTYCZĄCE BUDYNKU</w:t>
            </w:r>
          </w:p>
        </w:tc>
      </w:tr>
      <w:tr w:rsidR="00A93D6B" w:rsidRPr="00216D20" w14:paraId="2D1CEE66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42D9E29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jest pozwolenie na budowę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vAlign w:val="top"/>
          </w:tcPr>
          <w:p w14:paraId="3BD6B045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D37346">
              <w:rPr>
                <w:rFonts w:ascii="Times New Roman" w:eastAsia="Lato" w:hAnsi="Times New Roman" w:cs="Times New Roman"/>
              </w:rPr>
              <w:t>tak*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363512BF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strike/>
              </w:rPr>
            </w:pPr>
            <w:r w:rsidRPr="00D37346">
              <w:rPr>
                <w:rFonts w:ascii="Times New Roman" w:eastAsia="Lato" w:hAnsi="Times New Roman" w:cs="Times New Roman"/>
                <w:strike/>
              </w:rPr>
              <w:t>nie*</w:t>
            </w:r>
          </w:p>
        </w:tc>
      </w:tr>
      <w:tr w:rsidR="00A93D6B" w:rsidRPr="00216D20" w14:paraId="62E6669E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49F27DB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pozwolenie na budowę jest ostateczne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vAlign w:val="top"/>
          </w:tcPr>
          <w:p w14:paraId="76CCE9CE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D37346">
              <w:rPr>
                <w:rFonts w:ascii="Times New Roman" w:eastAsia="Lato" w:hAnsi="Times New Roman" w:cs="Times New Roman"/>
              </w:rPr>
              <w:t>tak*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2E32835E" w14:textId="77777777" w:rsidR="00A93D6B" w:rsidRPr="00D37346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strike/>
                <w:color w:val="000000"/>
              </w:rPr>
            </w:pPr>
            <w:r w:rsidRPr="00D37346">
              <w:rPr>
                <w:rFonts w:ascii="Times New Roman" w:eastAsia="Lato" w:hAnsi="Times New Roman" w:cs="Times New Roman"/>
                <w:strike/>
              </w:rPr>
              <w:t>nie*</w:t>
            </w:r>
          </w:p>
        </w:tc>
      </w:tr>
      <w:tr w:rsidR="00A93D6B" w:rsidRPr="00216D20" w14:paraId="058CDED9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3BFBA17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Czy pozwolenie na budowę jest zaskarżone</w:t>
            </w:r>
          </w:p>
        </w:tc>
        <w:tc>
          <w:tcPr>
            <w:tcW w:w="2215" w:type="dxa"/>
            <w:tcBorders>
              <w:bottom w:val="single" w:sz="4" w:space="0" w:color="000000"/>
            </w:tcBorders>
            <w:vAlign w:val="top"/>
          </w:tcPr>
          <w:p w14:paraId="3F6DA1C1" w14:textId="7777777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D37346">
              <w:rPr>
                <w:rFonts w:ascii="Times New Roman" w:eastAsia="Lato" w:hAnsi="Times New Roman" w:cs="Times New Roman"/>
                <w:strike/>
              </w:rPr>
              <w:t>tak</w:t>
            </w:r>
            <w:r w:rsidRPr="00216D20">
              <w:rPr>
                <w:rFonts w:ascii="Times New Roman" w:eastAsia="Lato" w:hAnsi="Times New Roman" w:cs="Times New Roman"/>
              </w:rPr>
              <w:t>*</w:t>
            </w:r>
          </w:p>
        </w:tc>
        <w:tc>
          <w:tcPr>
            <w:tcW w:w="6238" w:type="dxa"/>
            <w:gridSpan w:val="3"/>
            <w:tcBorders>
              <w:bottom w:val="single" w:sz="4" w:space="0" w:color="000000"/>
            </w:tcBorders>
            <w:vAlign w:val="top"/>
          </w:tcPr>
          <w:p w14:paraId="6BE32EF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nie*</w:t>
            </w:r>
          </w:p>
        </w:tc>
      </w:tr>
      <w:tr w:rsidR="00A93D6B" w:rsidRPr="00216D20" w14:paraId="61D3EE45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84DD1B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Nr pozwolenia na budowę oraz nazwa organu, który je wydał</w:t>
            </w:r>
          </w:p>
        </w:tc>
        <w:tc>
          <w:tcPr>
            <w:tcW w:w="8453" w:type="dxa"/>
            <w:gridSpan w:val="4"/>
            <w:vAlign w:val="top"/>
          </w:tcPr>
          <w:p w14:paraId="2C736419" w14:textId="72DCFF7E" w:rsidR="00A93D6B" w:rsidRPr="00216D20" w:rsidRDefault="00E80B63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E80B63">
              <w:rPr>
                <w:rFonts w:cstheme="minorHAnsi"/>
              </w:rPr>
              <w:t>Decyzja o zatwierdzająca projekt budowlany i udzielająca pozwolenia na budowę nr 328/2022 z dnia 28 czerwca 2022 r. wydana z upoważnienia Starosty Nowodworskiego</w:t>
            </w:r>
          </w:p>
        </w:tc>
      </w:tr>
      <w:tr w:rsidR="00A93D6B" w:rsidRPr="00216D20" w14:paraId="624ADFDC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1A68A91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Data uprawomocnienia się decyzji o pozwoleniu na użytkowanie budynku</w:t>
            </w:r>
          </w:p>
        </w:tc>
        <w:tc>
          <w:tcPr>
            <w:tcW w:w="8453" w:type="dxa"/>
            <w:gridSpan w:val="4"/>
            <w:vAlign w:val="top"/>
          </w:tcPr>
          <w:p w14:paraId="3C2B4034" w14:textId="01420D83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A93D6B">
              <w:rPr>
                <w:rFonts w:cstheme="minorHAnsi"/>
              </w:rPr>
              <w:t>BRAK</w:t>
            </w:r>
          </w:p>
        </w:tc>
      </w:tr>
      <w:tr w:rsidR="00A93D6B" w:rsidRPr="00216D20" w14:paraId="38166E13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D7AD40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Numer zgłoszenia budowy, o której mowa w art. 29 ust. 1 pkt 1 ustawy z dnia 7 lipca 1994 r. – Prawo budowlane (Dz. U. z 2020 r. poz. 1333, 2127 i 2320 oraz z 2021 r. poz. 11, 234, 282 i 784), oraz </w:t>
            </w:r>
            <w:r w:rsidRPr="00216D20">
              <w:rPr>
                <w:rFonts w:ascii="Times New Roman" w:hAnsi="Times New Roman" w:cs="Times New Roman"/>
              </w:rPr>
              <w:lastRenderedPageBreak/>
              <w:t>oznaczenie organu, do którego dokonano zgłoszenia, wraz z informacją o braku wniesienia sprzeciwu przez ten organ</w:t>
            </w:r>
          </w:p>
        </w:tc>
        <w:tc>
          <w:tcPr>
            <w:tcW w:w="8453" w:type="dxa"/>
            <w:gridSpan w:val="4"/>
            <w:vAlign w:val="top"/>
          </w:tcPr>
          <w:p w14:paraId="1C244FCF" w14:textId="2B99FAC7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535EC2">
              <w:rPr>
                <w:rFonts w:ascii="Times New Roman" w:eastAsia="Lato" w:hAnsi="Times New Roman" w:cs="Times New Roman"/>
              </w:rPr>
              <w:lastRenderedPageBreak/>
              <w:t>Nie dotyczy</w:t>
            </w:r>
          </w:p>
        </w:tc>
      </w:tr>
      <w:tr w:rsidR="00A93D6B" w:rsidRPr="00216D20" w14:paraId="37DD8478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4F89996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Data zakończenia budowy domu jednorodzinnego</w:t>
            </w:r>
          </w:p>
        </w:tc>
        <w:tc>
          <w:tcPr>
            <w:tcW w:w="8453" w:type="dxa"/>
            <w:gridSpan w:val="4"/>
            <w:vAlign w:val="top"/>
          </w:tcPr>
          <w:p w14:paraId="6CCE0D34" w14:textId="4D365BAA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  <w:highlight w:val="yellow"/>
              </w:rPr>
            </w:pPr>
            <w:r w:rsidRPr="00535EC2">
              <w:rPr>
                <w:rFonts w:ascii="Times New Roman" w:eastAsia="Lato" w:hAnsi="Times New Roman" w:cs="Times New Roman"/>
              </w:rPr>
              <w:t>Nie dotyczy</w:t>
            </w:r>
          </w:p>
        </w:tc>
      </w:tr>
      <w:tr w:rsidR="00A93D6B" w:rsidRPr="00216D20" w14:paraId="4C770323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482FBDB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2" w:name="_heading=h.3znysh7" w:colFirst="0" w:colLast="0"/>
            <w:bookmarkEnd w:id="2"/>
            <w:r w:rsidRPr="00216D20">
              <w:rPr>
                <w:rFonts w:ascii="Times New Roman" w:eastAsia="Lato" w:hAnsi="Times New Roman" w:cs="Times New Roman"/>
                <w:color w:val="000000"/>
              </w:rPr>
              <w:t>Planowany</w:t>
            </w:r>
            <w:r w:rsidRPr="00216D20">
              <w:rPr>
                <w:rFonts w:ascii="Times New Roman" w:eastAsia="Lato" w:hAnsi="Times New Roman" w:cs="Times New Roman"/>
              </w:rPr>
              <w:t xml:space="preserve">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t>termin rozpoczęcia i zakończenia prac budowlanych</w:t>
            </w:r>
          </w:p>
        </w:tc>
        <w:tc>
          <w:tcPr>
            <w:tcW w:w="8453" w:type="dxa"/>
            <w:gridSpan w:val="4"/>
            <w:shd w:val="clear" w:color="auto" w:fill="auto"/>
            <w:vAlign w:val="top"/>
          </w:tcPr>
          <w:p w14:paraId="25F5E3DE" w14:textId="7352A812" w:rsidR="00E80B63" w:rsidRPr="00E80B63" w:rsidRDefault="00E80B63" w:rsidP="00E80B63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E80B63">
              <w:rPr>
                <w:rFonts w:ascii="Times New Roman" w:eastAsia="Lato" w:hAnsi="Times New Roman" w:cs="Times New Roman"/>
              </w:rPr>
              <w:t xml:space="preserve">Termin rozpoczęcia budowy: </w:t>
            </w:r>
            <w:r w:rsidR="00FF09E2">
              <w:rPr>
                <w:rFonts w:ascii="Times New Roman" w:eastAsia="Lato" w:hAnsi="Times New Roman" w:cs="Times New Roman"/>
              </w:rPr>
              <w:t>30</w:t>
            </w:r>
            <w:r>
              <w:rPr>
                <w:rFonts w:ascii="Times New Roman" w:eastAsia="Lato" w:hAnsi="Times New Roman" w:cs="Times New Roman"/>
              </w:rPr>
              <w:t>.0</w:t>
            </w:r>
            <w:r w:rsidR="00FF09E2">
              <w:rPr>
                <w:rFonts w:ascii="Times New Roman" w:eastAsia="Lato" w:hAnsi="Times New Roman" w:cs="Times New Roman"/>
              </w:rPr>
              <w:t>6</w:t>
            </w:r>
            <w:r w:rsidRPr="00E80B63">
              <w:rPr>
                <w:rFonts w:ascii="Times New Roman" w:eastAsia="Lato" w:hAnsi="Times New Roman" w:cs="Times New Roman"/>
              </w:rPr>
              <w:t xml:space="preserve"> 202</w:t>
            </w:r>
            <w:r w:rsidR="00FF09E2">
              <w:rPr>
                <w:rFonts w:ascii="Times New Roman" w:eastAsia="Lato" w:hAnsi="Times New Roman" w:cs="Times New Roman"/>
              </w:rPr>
              <w:t>2</w:t>
            </w:r>
            <w:r w:rsidRPr="00E80B63">
              <w:rPr>
                <w:rFonts w:ascii="Times New Roman" w:eastAsia="Lato" w:hAnsi="Times New Roman" w:cs="Times New Roman"/>
              </w:rPr>
              <w:t xml:space="preserve"> r.</w:t>
            </w:r>
          </w:p>
          <w:p w14:paraId="0CF92116" w14:textId="6FDB28B2" w:rsidR="00A93D6B" w:rsidRPr="00216D20" w:rsidRDefault="00E80B63" w:rsidP="00E80B63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 w:rsidRPr="00E80B63">
              <w:rPr>
                <w:rFonts w:ascii="Times New Roman" w:eastAsia="Lato" w:hAnsi="Times New Roman" w:cs="Times New Roman"/>
              </w:rPr>
              <w:t>Planowany termin zakończenia budowy: I</w:t>
            </w:r>
            <w:r w:rsidR="00CC6E96">
              <w:rPr>
                <w:rFonts w:ascii="Times New Roman" w:eastAsia="Lato" w:hAnsi="Times New Roman" w:cs="Times New Roman"/>
              </w:rPr>
              <w:t>I</w:t>
            </w:r>
            <w:r w:rsidR="00385547">
              <w:rPr>
                <w:rFonts w:ascii="Times New Roman" w:eastAsia="Lato" w:hAnsi="Times New Roman" w:cs="Times New Roman"/>
              </w:rPr>
              <w:t>I</w:t>
            </w:r>
            <w:r w:rsidRPr="00E80B63">
              <w:rPr>
                <w:rFonts w:ascii="Times New Roman" w:eastAsia="Lato" w:hAnsi="Times New Roman" w:cs="Times New Roman"/>
              </w:rPr>
              <w:t xml:space="preserve"> kwartał 202</w:t>
            </w:r>
            <w:r w:rsidR="00CC6E96">
              <w:rPr>
                <w:rFonts w:ascii="Times New Roman" w:eastAsia="Lato" w:hAnsi="Times New Roman" w:cs="Times New Roman"/>
              </w:rPr>
              <w:t>6</w:t>
            </w:r>
            <w:r w:rsidRPr="00E80B63">
              <w:rPr>
                <w:rFonts w:ascii="Times New Roman" w:eastAsia="Lato" w:hAnsi="Times New Roman" w:cs="Times New Roman"/>
              </w:rPr>
              <w:t xml:space="preserve"> r.</w:t>
            </w:r>
          </w:p>
        </w:tc>
      </w:tr>
      <w:tr w:rsidR="00A93D6B" w:rsidRPr="00216D20" w14:paraId="45F79482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CC02DC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Termin, do którego nastąpi przeniesienie prawa własności nieruchomości </w:t>
            </w:r>
          </w:p>
        </w:tc>
        <w:tc>
          <w:tcPr>
            <w:tcW w:w="8453" w:type="dxa"/>
            <w:gridSpan w:val="4"/>
            <w:vAlign w:val="top"/>
          </w:tcPr>
          <w:p w14:paraId="262DCBFE" w14:textId="27E0A308" w:rsidR="00A93D6B" w:rsidRPr="00216D20" w:rsidRDefault="00817134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817134">
              <w:rPr>
                <w:rFonts w:cstheme="minorHAnsi"/>
                <w:sz w:val="20"/>
                <w:szCs w:val="20"/>
              </w:rPr>
              <w:t>3</w:t>
            </w:r>
            <w:r w:rsidR="00385547">
              <w:rPr>
                <w:rFonts w:cstheme="minorHAnsi"/>
                <w:sz w:val="20"/>
                <w:szCs w:val="20"/>
              </w:rPr>
              <w:t>1</w:t>
            </w:r>
            <w:r w:rsidRPr="00817134">
              <w:rPr>
                <w:rFonts w:cstheme="minorHAnsi"/>
                <w:sz w:val="20"/>
                <w:szCs w:val="20"/>
              </w:rPr>
              <w:t>.</w:t>
            </w:r>
            <w:r w:rsidR="00385547">
              <w:rPr>
                <w:rFonts w:cstheme="minorHAnsi"/>
                <w:sz w:val="20"/>
                <w:szCs w:val="20"/>
              </w:rPr>
              <w:t>12</w:t>
            </w:r>
            <w:r w:rsidRPr="00817134">
              <w:rPr>
                <w:rFonts w:cstheme="minorHAnsi"/>
                <w:sz w:val="20"/>
                <w:szCs w:val="20"/>
              </w:rPr>
              <w:t>.202</w:t>
            </w:r>
            <w:r w:rsidR="00E80B63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 xml:space="preserve"> r.</w:t>
            </w:r>
          </w:p>
        </w:tc>
      </w:tr>
      <w:tr w:rsidR="00A93D6B" w:rsidRPr="00216D20" w14:paraId="2FE8AFE7" w14:textId="77777777" w:rsidTr="00413F25">
        <w:trPr>
          <w:trHeight w:val="190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460912C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Opis przedsięwzięcia deweloperskiego</w:t>
            </w:r>
          </w:p>
        </w:tc>
        <w:tc>
          <w:tcPr>
            <w:tcW w:w="2215" w:type="dxa"/>
            <w:vAlign w:val="top"/>
          </w:tcPr>
          <w:p w14:paraId="6521FDB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Liczba budynków</w:t>
            </w:r>
          </w:p>
        </w:tc>
        <w:tc>
          <w:tcPr>
            <w:tcW w:w="6238" w:type="dxa"/>
            <w:gridSpan w:val="3"/>
            <w:vAlign w:val="top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11"/>
            </w:tblGrid>
            <w:tr w:rsidR="00FF09E2" w:rsidRPr="00FF09E2" w14:paraId="7142CF5A" w14:textId="77777777" w:rsidTr="00E25608">
              <w:trPr>
                <w:trHeight w:val="284"/>
              </w:trPr>
              <w:tc>
                <w:tcPr>
                  <w:tcW w:w="6311" w:type="dxa"/>
                  <w:vAlign w:val="center"/>
                </w:tcPr>
                <w:p w14:paraId="04DE6AFD" w14:textId="77777777" w:rsidR="00FF09E2" w:rsidRPr="00FF09E2" w:rsidRDefault="00FF09E2" w:rsidP="00FF09E2">
                  <w:pPr>
                    <w:tabs>
                      <w:tab w:val="left" w:pos="4962"/>
                      <w:tab w:val="left" w:pos="6100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bCs/>
                      <w:lang w:eastAsia="en-US"/>
                    </w:rPr>
                  </w:pPr>
                  <w:r w:rsidRPr="00FF09E2">
                    <w:rPr>
                      <w:rFonts w:ascii="Times New Roman" w:eastAsia="Calibri" w:hAnsi="Times New Roman" w:cs="Times New Roman"/>
                      <w:bCs/>
                      <w:lang w:eastAsia="en-US"/>
                    </w:rPr>
                    <w:t>Budowa 14 budynków mieszkalnych jednorodzinnych dwulokalowych w zabudowie szeregowej wraz z ogrodzeniem, zagospodarowaniem terenu ( ciąg pieszo-jezdny, zewnętrzne miejsca parkingowe) na terenie działki nr ew. 154, 57/1 obręb 8-10 w Nowym Dworze Mazowieckim.</w:t>
                  </w:r>
                </w:p>
                <w:p w14:paraId="63BB2AC6" w14:textId="77777777" w:rsidR="00FF09E2" w:rsidRPr="00FF09E2" w:rsidRDefault="00FF09E2" w:rsidP="00FF09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lang w:eastAsia="en-US"/>
                    </w:rPr>
                  </w:pPr>
                  <w:r w:rsidRPr="00FF09E2">
                    <w:rPr>
                      <w:rFonts w:ascii="Times New Roman" w:eastAsia="Calibri" w:hAnsi="Times New Roman" w:cs="Times New Roman"/>
                      <w:b/>
                      <w:bCs/>
                      <w:lang w:eastAsia="en-US"/>
                    </w:rPr>
                    <w:t>Inwestycja została rozpoczęta 30.06.2022r .Kontynuacja budowy 25 lokali na nowych zasadach ustawy deweloperskiej z dnia 20 maja 2021r.</w:t>
                  </w:r>
                </w:p>
                <w:p w14:paraId="1E64D6FB" w14:textId="77777777" w:rsidR="00FF09E2" w:rsidRPr="00FF09E2" w:rsidRDefault="00FF09E2" w:rsidP="00FF09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F09E2">
                    <w:rPr>
                      <w:rFonts w:ascii="Times New Roman" w:eastAsia="Calibri" w:hAnsi="Times New Roman" w:cs="Times New Roman"/>
                      <w:b/>
                      <w:bCs/>
                      <w:lang w:eastAsia="en-US"/>
                    </w:rPr>
                    <w:t xml:space="preserve">Zadanie II- </w:t>
                  </w:r>
                  <w:r w:rsidRPr="00FF09E2">
                    <w:rPr>
                      <w:rFonts w:ascii="Times New Roman" w:eastAsia="Calibri" w:hAnsi="Times New Roman" w:cs="Times New Roman"/>
                      <w:lang w:eastAsia="en-US"/>
                    </w:rPr>
                    <w:t>budowa 14 lokali mieszkalnych szereg D.</w:t>
                  </w:r>
                </w:p>
                <w:p w14:paraId="1D9827FD" w14:textId="77777777" w:rsidR="00FF09E2" w:rsidRPr="00FF09E2" w:rsidRDefault="00FF09E2" w:rsidP="00FF09E2">
                  <w:pPr>
                    <w:tabs>
                      <w:tab w:val="left" w:pos="4962"/>
                      <w:tab w:val="left" w:pos="610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40F0967" w14:textId="1A247D0F" w:rsidR="00A93D6B" w:rsidRPr="00216D20" w:rsidRDefault="00A93D6B" w:rsidP="00D3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</w:p>
        </w:tc>
      </w:tr>
      <w:tr w:rsidR="00A93D6B" w:rsidRPr="00216D20" w14:paraId="07C6BD57" w14:textId="77777777" w:rsidTr="00413F25">
        <w:trPr>
          <w:trHeight w:val="307"/>
        </w:trPr>
        <w:tc>
          <w:tcPr>
            <w:tcW w:w="1925" w:type="dxa"/>
            <w:vMerge/>
            <w:shd w:val="clear" w:color="auto" w:fill="D9D9D9"/>
            <w:vAlign w:val="top"/>
          </w:tcPr>
          <w:p w14:paraId="0CB0F196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7B30B19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Rozmieszczenie budynków na nieruchomości (należy podać minimalny odstęp między budynkami)</w:t>
            </w:r>
          </w:p>
        </w:tc>
        <w:tc>
          <w:tcPr>
            <w:tcW w:w="6238" w:type="dxa"/>
            <w:gridSpan w:val="3"/>
            <w:vAlign w:val="top"/>
          </w:tcPr>
          <w:p w14:paraId="161A3DEF" w14:textId="0BAE24FF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</w:rPr>
              <w:t>Zgodnie ze s</w:t>
            </w:r>
            <w:r w:rsidRPr="00535EC2">
              <w:rPr>
                <w:rFonts w:ascii="Times New Roman" w:eastAsia="Lato" w:hAnsi="Times New Roman" w:cs="Times New Roman"/>
              </w:rPr>
              <w:t>zkic</w:t>
            </w:r>
            <w:r>
              <w:rPr>
                <w:rFonts w:ascii="Times New Roman" w:eastAsia="Lato" w:hAnsi="Times New Roman" w:cs="Times New Roman"/>
              </w:rPr>
              <w:t>em</w:t>
            </w:r>
            <w:r w:rsidRPr="00535EC2">
              <w:rPr>
                <w:rFonts w:ascii="Times New Roman" w:eastAsia="Lato" w:hAnsi="Times New Roman" w:cs="Times New Roman"/>
              </w:rPr>
              <w:t xml:space="preserve"> koncepcji zagospodarowania terenu</w:t>
            </w:r>
          </w:p>
        </w:tc>
      </w:tr>
      <w:tr w:rsidR="00A93D6B" w:rsidRPr="00216D20" w14:paraId="68B4D192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E5A58F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3" w:name="_heading=h.2et92p0" w:colFirst="0" w:colLast="0"/>
            <w:bookmarkEnd w:id="3"/>
            <w:r w:rsidRPr="00216D20">
              <w:rPr>
                <w:rFonts w:ascii="Times New Roman" w:eastAsia="Lato" w:hAnsi="Times New Roman" w:cs="Times New Roman"/>
                <w:color w:val="000000"/>
              </w:rPr>
              <w:t>Sposób pomiaru powierzchni lokalu mieszkalnego lub domu jednorodzinnego</w:t>
            </w:r>
          </w:p>
        </w:tc>
        <w:tc>
          <w:tcPr>
            <w:tcW w:w="8453" w:type="dxa"/>
            <w:gridSpan w:val="4"/>
            <w:vAlign w:val="top"/>
          </w:tcPr>
          <w:p w14:paraId="1B13FBEF" w14:textId="7AB86C5E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lang w:eastAsia="ar-SA"/>
              </w:rPr>
              <w:t>Pomiar zostanie dokonany przez Sprzedającego zgodnie z normą</w:t>
            </w:r>
            <w:r>
              <w:rPr>
                <w:rFonts w:cstheme="minorHAnsi"/>
                <w:lang w:eastAsia="ar-SA"/>
              </w:rPr>
              <w:t xml:space="preserve"> </w:t>
            </w:r>
            <w:r w:rsidR="00D37085">
              <w:rPr>
                <w:color w:val="1F497D"/>
                <w:shd w:val="clear" w:color="auto" w:fill="FFFFFF"/>
              </w:rPr>
              <w:t>PN-ISO 9836:2022-07</w:t>
            </w:r>
          </w:p>
        </w:tc>
      </w:tr>
      <w:tr w:rsidR="00A93D6B" w:rsidRPr="00216D20" w14:paraId="0DF56C82" w14:textId="77777777" w:rsidTr="00413F25">
        <w:trPr>
          <w:trHeight w:val="996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7BD8AE6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Zamierzony sposób i procentowy udział źródeł finansowania przedsięwzięcia deweloperskiego lub zadania inwestycyjnego</w:t>
            </w:r>
          </w:p>
        </w:tc>
        <w:tc>
          <w:tcPr>
            <w:tcW w:w="2264" w:type="dxa"/>
            <w:gridSpan w:val="2"/>
            <w:vAlign w:val="top"/>
          </w:tcPr>
          <w:p w14:paraId="42A7492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Rodzaj posiadanych środków finansowych – kredyt, środki własne, inne</w:t>
            </w:r>
          </w:p>
        </w:tc>
        <w:tc>
          <w:tcPr>
            <w:tcW w:w="6189" w:type="dxa"/>
            <w:gridSpan w:val="2"/>
            <w:vAlign w:val="top"/>
          </w:tcPr>
          <w:p w14:paraId="26AE7619" w14:textId="6CA693DD" w:rsidR="00A93D6B" w:rsidRPr="00216D20" w:rsidRDefault="00E80B63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4" w:name="_heading=h.lnxbz9" w:colFirst="0" w:colLast="0"/>
            <w:bookmarkEnd w:id="4"/>
            <w:r>
              <w:rPr>
                <w:rFonts w:cstheme="minorHAnsi"/>
                <w:lang w:eastAsia="ar-SA"/>
              </w:rPr>
              <w:t xml:space="preserve">100 </w:t>
            </w:r>
            <w:r w:rsidR="00A93D6B">
              <w:rPr>
                <w:rFonts w:cstheme="minorHAnsi"/>
                <w:lang w:eastAsia="ar-SA"/>
              </w:rPr>
              <w:t>%</w:t>
            </w:r>
            <w:r w:rsidR="00A93D6B" w:rsidRPr="00CD3DD3">
              <w:rPr>
                <w:rFonts w:cstheme="minorHAnsi"/>
                <w:lang w:eastAsia="ar-SA"/>
              </w:rPr>
              <w:t xml:space="preserve"> - środki własne</w:t>
            </w:r>
          </w:p>
        </w:tc>
      </w:tr>
      <w:tr w:rsidR="00A93D6B" w:rsidRPr="00216D20" w14:paraId="22BE6928" w14:textId="77777777" w:rsidTr="00413F25">
        <w:trPr>
          <w:trHeight w:val="996"/>
        </w:trPr>
        <w:tc>
          <w:tcPr>
            <w:tcW w:w="1925" w:type="dxa"/>
            <w:vMerge/>
            <w:shd w:val="clear" w:color="auto" w:fill="D9D9D9"/>
            <w:vAlign w:val="top"/>
          </w:tcPr>
          <w:p w14:paraId="1B507F6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64" w:type="dxa"/>
            <w:gridSpan w:val="2"/>
            <w:vAlign w:val="top"/>
          </w:tcPr>
          <w:p w14:paraId="7A33A95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 następujących instytucjach finansowych (wypełnia się w przypadku kredytu)</w:t>
            </w:r>
          </w:p>
        </w:tc>
        <w:tc>
          <w:tcPr>
            <w:tcW w:w="6189" w:type="dxa"/>
            <w:gridSpan w:val="2"/>
            <w:vAlign w:val="top"/>
          </w:tcPr>
          <w:p w14:paraId="2AF56207" w14:textId="4A4E1FFA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0A00A044" w14:textId="77777777" w:rsidTr="00413F25">
        <w:trPr>
          <w:trHeight w:val="792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7DD4E95C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Środki ochrony nabywców</w:t>
            </w:r>
          </w:p>
        </w:tc>
        <w:tc>
          <w:tcPr>
            <w:tcW w:w="2264" w:type="dxa"/>
            <w:gridSpan w:val="2"/>
            <w:vAlign w:val="top"/>
          </w:tcPr>
          <w:p w14:paraId="6C0979B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Otwarty mieszkaniowy rachunek powierniczy*</w:t>
            </w:r>
          </w:p>
        </w:tc>
        <w:tc>
          <w:tcPr>
            <w:tcW w:w="6189" w:type="dxa"/>
            <w:gridSpan w:val="2"/>
            <w:vAlign w:val="top"/>
          </w:tcPr>
          <w:p w14:paraId="428F2EBB" w14:textId="77777777" w:rsidR="00A93D6B" w:rsidRPr="00D37346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strike/>
                <w:color w:val="000000"/>
              </w:rPr>
            </w:pPr>
            <w:r w:rsidRPr="00D37346">
              <w:rPr>
                <w:rFonts w:ascii="Times New Roman" w:hAnsi="Times New Roman" w:cs="Times New Roman"/>
                <w:strike/>
              </w:rPr>
              <w:t>Zamknięty mieszkaniowy rachunek powierniczy*</w:t>
            </w:r>
          </w:p>
        </w:tc>
      </w:tr>
      <w:tr w:rsidR="00A93D6B" w:rsidRPr="00216D20" w14:paraId="52C70701" w14:textId="77777777" w:rsidTr="00413F25">
        <w:trPr>
          <w:trHeight w:val="792"/>
        </w:trPr>
        <w:tc>
          <w:tcPr>
            <w:tcW w:w="1925" w:type="dxa"/>
            <w:vMerge/>
            <w:shd w:val="clear" w:color="auto" w:fill="D9D9D9"/>
            <w:vAlign w:val="top"/>
          </w:tcPr>
          <w:p w14:paraId="55110C7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64" w:type="dxa"/>
            <w:gridSpan w:val="2"/>
            <w:vAlign w:val="top"/>
          </w:tcPr>
          <w:p w14:paraId="0A193C08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Wysokość stawki procentowej, według której jest obliczana kwota składki na Deweloperski Fundusz Gwarancyjny</w:t>
            </w:r>
            <w:r w:rsidRPr="00216D20">
              <w:rPr>
                <w:rStyle w:val="Odwoanieprzypisudolnego"/>
                <w:rFonts w:ascii="Times New Roman" w:eastAsia="Lato" w:hAnsi="Times New Roman" w:cs="Times New Roman"/>
                <w:color w:val="000000"/>
              </w:rPr>
              <w:footnoteReference w:id="7"/>
            </w:r>
          </w:p>
        </w:tc>
        <w:tc>
          <w:tcPr>
            <w:tcW w:w="6189" w:type="dxa"/>
            <w:gridSpan w:val="2"/>
            <w:vAlign w:val="top"/>
          </w:tcPr>
          <w:p w14:paraId="0520B4DC" w14:textId="2EC87F15" w:rsidR="00A93D6B" w:rsidRPr="00216D20" w:rsidRDefault="00D37085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0,</w:t>
            </w:r>
            <w:r w:rsidR="00CC6E96">
              <w:rPr>
                <w:rFonts w:ascii="Times New Roman" w:eastAsia="Lato" w:hAnsi="Times New Roman" w:cs="Times New Roman"/>
                <w:color w:val="000000"/>
              </w:rPr>
              <w:t>45</w:t>
            </w:r>
            <w:r w:rsidR="00A93D6B">
              <w:rPr>
                <w:rFonts w:ascii="Times New Roman" w:eastAsia="Lato" w:hAnsi="Times New Roman" w:cs="Times New Roman"/>
                <w:color w:val="000000"/>
              </w:rPr>
              <w:t>%</w:t>
            </w:r>
          </w:p>
        </w:tc>
      </w:tr>
      <w:tr w:rsidR="00A93D6B" w:rsidRPr="00216D20" w14:paraId="7FC721E1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38649C3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Główne zasady funkcjonowania wybranego rodzaju zabezpieczenia środków nabywcy</w:t>
            </w:r>
          </w:p>
        </w:tc>
        <w:tc>
          <w:tcPr>
            <w:tcW w:w="8453" w:type="dxa"/>
            <w:gridSpan w:val="4"/>
            <w:vAlign w:val="top"/>
          </w:tcPr>
          <w:p w14:paraId="024BA3F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Otwarty mieszkaniowy rachunek powierniczy to należący do dewelopera rachunek</w:t>
            </w:r>
          </w:p>
          <w:p w14:paraId="2ADEFE59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powierniczy w rozumieniu przepisów ustawy z dnia 29 sierpnia 1997 r. — Prawo</w:t>
            </w:r>
          </w:p>
          <w:p w14:paraId="47D06337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bankowe służący gromadzeniu środków pieniężnych wpłaconych przez nabywcę, na</w:t>
            </w:r>
          </w:p>
          <w:p w14:paraId="207B1F6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cele określone w umowie deweloperskiej, z którego wypłata zdeponowanych</w:t>
            </w:r>
          </w:p>
          <w:p w14:paraId="2E6FA36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środków następuje zgodnie z harmonogramem przedsięwzięcia deweloperskiego</w:t>
            </w:r>
          </w:p>
          <w:p w14:paraId="0BDBA399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określonego w tej umowie.</w:t>
            </w:r>
          </w:p>
          <w:p w14:paraId="041FD28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Bank prowadzący rachunek powierniczy otwarty będzie ewidencjonował wpłaty i</w:t>
            </w:r>
          </w:p>
          <w:p w14:paraId="53DBD2B1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wypłaty odrębne dla każdego Nabywcy na Rachunku Indywidualnym, służącym</w:t>
            </w:r>
          </w:p>
          <w:p w14:paraId="332EA7B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Nabywcy do dokonywania wpłat, prowadzonym przez Bank w Ramach rachunku</w:t>
            </w:r>
          </w:p>
          <w:p w14:paraId="1FE5FCE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powierniczego otwartego,</w:t>
            </w:r>
          </w:p>
          <w:p w14:paraId="55237AA3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Nabywca dokonuje wpłat na mieszkaniowy rachunek powierniczy zgodnie z</w:t>
            </w:r>
          </w:p>
          <w:p w14:paraId="4D24A7D0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postępem realizacji poszczególnych etapów przedsięwzięcia deweloperskiego,</w:t>
            </w:r>
          </w:p>
          <w:p w14:paraId="1246C649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Wysokość wpłat dokonywanych przez nabywcę jest uzależniona od faktycznego</w:t>
            </w:r>
          </w:p>
          <w:p w14:paraId="40318B5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stopnia realizacji poszczególnych etapów przedsięwzięcia deweloperskiego</w:t>
            </w:r>
          </w:p>
          <w:p w14:paraId="47BAE0D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określonego w harmonogramie, a wpłata dokonywana jest po zakończeniu danego</w:t>
            </w:r>
          </w:p>
          <w:p w14:paraId="674FA0D1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etapu.</w:t>
            </w:r>
          </w:p>
          <w:p w14:paraId="74D96B88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Bank wypłaca deweloperowi środki pieniężne wpłacone przez nabywcę na otwarty</w:t>
            </w:r>
          </w:p>
          <w:p w14:paraId="53FF390A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mieszkaniowy rachunek powierniczy, nie wcześniej niż po 30 dniach od dnia</w:t>
            </w:r>
          </w:p>
          <w:p w14:paraId="013C1F8F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zawarcia umowy deweloperskiej i po stwierdzeniu zakończenia danego etapu</w:t>
            </w:r>
          </w:p>
          <w:p w14:paraId="7A936C2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realizacji przedsięwzięcia deweloperskiego. Kwotę należną za realizację ostatniego</w:t>
            </w:r>
          </w:p>
          <w:p w14:paraId="04A88DF4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etapu przedsięwzięcia deweloperskiego, bank wypłaci deweloperowi po otrzymaniu</w:t>
            </w:r>
          </w:p>
          <w:p w14:paraId="515A85CF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wypisu aktu notarialnego umowy przenoszącej na nabywcę prawa wynikające z</w:t>
            </w:r>
          </w:p>
          <w:p w14:paraId="18CC2A92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umowy zawartej pomiędzy nabywcą i deweloperem, w stanie wolnym od obciążeń,</w:t>
            </w:r>
          </w:p>
          <w:p w14:paraId="6B89EAB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praw i roszczeń osób trzecich, z wyjątkiem obciążeń na które zgodę wyraził</w:t>
            </w:r>
          </w:p>
          <w:p w14:paraId="24FF74B5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nabywca.</w:t>
            </w:r>
          </w:p>
          <w:p w14:paraId="772D1CF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Deweloper dokonuje wyliczenia wysokości składki na Deweloperski Funduszu</w:t>
            </w:r>
          </w:p>
          <w:p w14:paraId="18BE22E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Gwarancyjny i wpłaca ją do banku prowadzącego mieszkaniowy rachunek</w:t>
            </w:r>
          </w:p>
          <w:p w14:paraId="514EB23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powierniczy w terminie 7 dni od dnia dokonania wpłaty i nie później niż przed</w:t>
            </w:r>
          </w:p>
          <w:p w14:paraId="5318CDB0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wypłatą środków na rzecz dewelopera. Bank odprowadza tę składkę do Funduszu w</w:t>
            </w:r>
          </w:p>
          <w:p w14:paraId="7997B89E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terminie 7 dni od dnia wpłaty składki przez dewelopera i nie później niż w dniu.</w:t>
            </w:r>
          </w:p>
          <w:p w14:paraId="4C9283E0" w14:textId="77777777" w:rsidR="00971C1B" w:rsidRPr="00971C1B" w:rsidRDefault="00971C1B" w:rsidP="00971C1B">
            <w:pPr>
              <w:rPr>
                <w:rFonts w:ascii="Times New Roman" w:hAnsi="Times New Roman" w:cs="Times New Roman"/>
              </w:rPr>
            </w:pPr>
            <w:r w:rsidRPr="00971C1B">
              <w:rPr>
                <w:rFonts w:ascii="Times New Roman" w:hAnsi="Times New Roman" w:cs="Times New Roman"/>
              </w:rPr>
              <w:t>Koszty, opłaty i prowizje za prowadzenie rachunku powierniczego obciążają dewelopera.</w:t>
            </w:r>
          </w:p>
          <w:p w14:paraId="06C99E36" w14:textId="6E8F15FE" w:rsidR="00D159CE" w:rsidRPr="00971C1B" w:rsidRDefault="00D159CE" w:rsidP="00D15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Lato" w:hAnsi="Times New Roman" w:cs="Times New Roman"/>
                <w:color w:val="000000"/>
                <w:highlight w:val="lightGray"/>
              </w:rPr>
            </w:pPr>
          </w:p>
        </w:tc>
      </w:tr>
      <w:tr w:rsidR="00A93D6B" w:rsidRPr="00216D20" w14:paraId="6CB337C7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156BB1A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Nazwa instytucji zapewniającej bezpieczeństwo środków nabywcy</w:t>
            </w:r>
          </w:p>
        </w:tc>
        <w:tc>
          <w:tcPr>
            <w:tcW w:w="8453" w:type="dxa"/>
            <w:gridSpan w:val="4"/>
            <w:vAlign w:val="top"/>
          </w:tcPr>
          <w:p w14:paraId="5F8AD8FC" w14:textId="2E9F741B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lang w:eastAsia="ar-SA"/>
              </w:rPr>
              <w:t>Rachunek powierniczy będzie prowadzony przez Mazowiecki Bank Spółdzielczy w Łomiankach. Deweloper zastrzega sobie jednocześnie prawo wyboru innej instytucji.</w:t>
            </w:r>
          </w:p>
        </w:tc>
      </w:tr>
      <w:tr w:rsidR="00A93D6B" w:rsidRPr="00216D20" w14:paraId="12F3B66E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326FAD4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5" w:name="_heading=h.35nkun2" w:colFirst="0" w:colLast="0"/>
            <w:bookmarkEnd w:id="5"/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Harmonogram przedsięwzięcia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deweloperskiego, w etapach</w:t>
            </w:r>
          </w:p>
        </w:tc>
        <w:tc>
          <w:tcPr>
            <w:tcW w:w="8453" w:type="dxa"/>
            <w:gridSpan w:val="4"/>
            <w:tcMar>
              <w:left w:w="0" w:type="dxa"/>
              <w:right w:w="0" w:type="dxa"/>
            </w:tcMar>
            <w:vAlign w:val="top"/>
          </w:tcPr>
          <w:p w14:paraId="01574A7F" w14:textId="77777777" w:rsidR="00A93D6B" w:rsidRPr="00216D20" w:rsidRDefault="00A93D6B" w:rsidP="00D37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tbl>
            <w:tblPr>
              <w:tblStyle w:val="1"/>
              <w:tblW w:w="6923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112"/>
              <w:gridCol w:w="3120"/>
              <w:gridCol w:w="1275"/>
              <w:gridCol w:w="1416"/>
            </w:tblGrid>
            <w:tr w:rsidR="00A93D6B" w:rsidRPr="00216D20" w14:paraId="01AE294B" w14:textId="77777777" w:rsidTr="00C705CD">
              <w:trPr>
                <w:trHeight w:val="903"/>
              </w:trPr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CD1AB7A" w14:textId="77777777" w:rsidR="00A93D6B" w:rsidRPr="00216D20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216D20">
                    <w:rPr>
                      <w:rFonts w:ascii="Times New Roman" w:eastAsia="Lato" w:hAnsi="Times New Roman" w:cs="Times New Roman"/>
                      <w:color w:val="000000"/>
                    </w:rPr>
                    <w:lastRenderedPageBreak/>
                    <w:t>Etapy realizacji inwestycji</w:t>
                  </w:r>
                </w:p>
              </w:tc>
              <w:tc>
                <w:tcPr>
                  <w:tcW w:w="3120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2AC29C8" w14:textId="17E39CED" w:rsidR="00A93D6B" w:rsidRPr="00216D20" w:rsidRDefault="00A93D6B" w:rsidP="00D37346">
                  <w:pPr>
                    <w:spacing w:after="0"/>
                    <w:jc w:val="center"/>
                    <w:rPr>
                      <w:rFonts w:ascii="Times New Roman" w:eastAsia="Lato" w:hAnsi="Times New Roman" w:cs="Times New Roman"/>
                    </w:rPr>
                  </w:pPr>
                  <w:r>
                    <w:rPr>
                      <w:rFonts w:ascii="Times New Roman" w:eastAsia="Lato" w:hAnsi="Times New Roman" w:cs="Times New Roman"/>
                    </w:rPr>
                    <w:t>Opis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A6994D0" w14:textId="12F69A06" w:rsidR="00A93D6B" w:rsidRPr="00D37346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</w:rPr>
                  </w:pPr>
                  <w:r w:rsidRPr="00216D20">
                    <w:rPr>
                      <w:rFonts w:ascii="Times New Roman" w:eastAsia="Lato" w:hAnsi="Times New Roman" w:cs="Times New Roman"/>
                      <w:color w:val="000000"/>
                    </w:rPr>
                    <w:t>Procentowy szacunkowy podział kosztów [%]</w:t>
                  </w:r>
                </w:p>
              </w:tc>
              <w:tc>
                <w:tcPr>
                  <w:tcW w:w="141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shd w:val="clear" w:color="auto" w:fill="D9D9D9"/>
                  <w:vAlign w:val="center"/>
                </w:tcPr>
                <w:p w14:paraId="01CBC76C" w14:textId="0C970F81" w:rsidR="00A93D6B" w:rsidRPr="00D37346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D37346">
                    <w:rPr>
                      <w:rFonts w:ascii="Times New Roman" w:eastAsia="Lato" w:hAnsi="Times New Roman" w:cs="Times New Roman"/>
                      <w:color w:val="000000"/>
                    </w:rPr>
                    <w:t>Data zakończenia</w:t>
                  </w:r>
                </w:p>
              </w:tc>
            </w:tr>
            <w:tr w:rsidR="00A93D6B" w:rsidRPr="00216D20" w14:paraId="7EA9F9E3" w14:textId="77777777" w:rsidTr="00C705CD">
              <w:trPr>
                <w:trHeight w:val="113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220E328" w14:textId="5C13320C" w:rsidR="00A93D6B" w:rsidRPr="00216D20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40CB3B7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1" w:eastAsiaTheme="minorHAnsi" w:hAnsi="CIDFont+F1" w:cs="CIDFont+F1"/>
                      <w:lang w:eastAsia="en-US"/>
                    </w:rPr>
                  </w:pPr>
                  <w:r>
                    <w:rPr>
                      <w:rFonts w:ascii="CIDFont+F1" w:eastAsiaTheme="minorHAnsi" w:hAnsi="CIDFont+F1" w:cs="CIDFont+F1"/>
                      <w:lang w:eastAsia="en-US"/>
                    </w:rPr>
                    <w:t>- nabycie nieruchomości</w:t>
                  </w:r>
                </w:p>
                <w:p w14:paraId="02B75E96" w14:textId="6EC80E40" w:rsidR="00A93D6B" w:rsidRPr="00216D20" w:rsidRDefault="00095999" w:rsidP="00095999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>
                    <w:rPr>
                      <w:rFonts w:ascii="CIDFont+F1" w:eastAsiaTheme="minorHAnsi" w:hAnsi="CIDFont+F1" w:cs="CIDFont+F1"/>
                      <w:lang w:eastAsia="en-US"/>
                    </w:rPr>
                    <w:t>- uzyskanie ostatecznej decyzji o zatwierdzeniu projektu budowlanego i udzieleniu pozwolenia na budowę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FB45265" w14:textId="6A45DE32" w:rsidR="00A93D6B" w:rsidRPr="00D37346" w:rsidRDefault="00C705CD" w:rsidP="00D37346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eastAsia="Lato" w:hAnsi="Times New Roman" w:cs="Times New Roman"/>
                      <w:b/>
                      <w:bCs/>
                    </w:rPr>
                    <w:t>20%</w:t>
                  </w:r>
                </w:p>
              </w:tc>
              <w:tc>
                <w:tcPr>
                  <w:tcW w:w="14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3C9C57C" w14:textId="196AB421" w:rsidR="00A93D6B" w:rsidRPr="00D37346" w:rsidRDefault="00095999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>
                    <w:rPr>
                      <w:rFonts w:ascii="Times New Roman" w:eastAsia="Lato" w:hAnsi="Times New Roman" w:cs="Times New Roman"/>
                    </w:rPr>
                    <w:t>29</w:t>
                  </w:r>
                  <w:r w:rsidR="00C705CD">
                    <w:rPr>
                      <w:rFonts w:ascii="Times New Roman" w:eastAsia="Lato" w:hAnsi="Times New Roman" w:cs="Times New Roman"/>
                    </w:rPr>
                    <w:t>.</w:t>
                  </w:r>
                  <w:r>
                    <w:rPr>
                      <w:rFonts w:ascii="Times New Roman" w:eastAsia="Lato" w:hAnsi="Times New Roman" w:cs="Times New Roman"/>
                    </w:rPr>
                    <w:t>06</w:t>
                  </w:r>
                  <w:r w:rsidR="00C705CD">
                    <w:rPr>
                      <w:rFonts w:ascii="Times New Roman" w:eastAsia="Lato" w:hAnsi="Times New Roman" w:cs="Times New Roman"/>
                    </w:rPr>
                    <w:t>.202</w:t>
                  </w:r>
                  <w:r>
                    <w:rPr>
                      <w:rFonts w:ascii="Times New Roman" w:eastAsia="Lato" w:hAnsi="Times New Roman" w:cs="Times New Roman"/>
                    </w:rPr>
                    <w:t>2</w:t>
                  </w:r>
                </w:p>
              </w:tc>
            </w:tr>
            <w:tr w:rsidR="00A93D6B" w:rsidRPr="00216D20" w14:paraId="6E96460B" w14:textId="77777777" w:rsidTr="00C705CD">
              <w:trPr>
                <w:trHeight w:val="572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FDFD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9E4837B" w14:textId="6773EB65" w:rsidR="00A93D6B" w:rsidRPr="00216D20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II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FDFD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1222BD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ławy i wymurowanie fundamentów,</w:t>
                  </w:r>
                </w:p>
                <w:p w14:paraId="6ECB915C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hydroizolacji poziomych i pionowych,</w:t>
                  </w:r>
                </w:p>
                <w:p w14:paraId="12947B6C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zasypek</w:t>
                  </w:r>
                </w:p>
                <w:p w14:paraId="654FA198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instalacji poziom „0”</w:t>
                  </w:r>
                </w:p>
                <w:p w14:paraId="2E94F601" w14:textId="36FB0398" w:rsidR="00A93D6B" w:rsidRPr="00216D20" w:rsidRDefault="00095999" w:rsidP="00095999">
                  <w:pPr>
                    <w:spacing w:after="0"/>
                    <w:rPr>
                      <w:rFonts w:ascii="Times New Roman" w:eastAsia="Lato" w:hAnsi="Times New Roman" w:cs="Times New Roman"/>
                      <w:highlight w:val="yellow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zalanie chudego betonu na poziomie „0”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FDFD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3AE428E" w14:textId="213B3F9B" w:rsidR="00A93D6B" w:rsidRPr="00C705CD" w:rsidRDefault="00C705CD" w:rsidP="00D37346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</w:rPr>
                  </w:pPr>
                  <w:r w:rsidRPr="00C705CD">
                    <w:rPr>
                      <w:rFonts w:ascii="Times New Roman" w:eastAsia="Lato" w:hAnsi="Times New Roman" w:cs="Times New Roman"/>
                      <w:b/>
                      <w:bCs/>
                    </w:rPr>
                    <w:t>12%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DFDFDF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266C29" w14:textId="77777777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20.02.2024</w:t>
                  </w:r>
                </w:p>
                <w:p w14:paraId="6F3C1248" w14:textId="52F8F2DE" w:rsidR="00A93D6B" w:rsidRPr="00C705CD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</w:p>
              </w:tc>
            </w:tr>
            <w:tr w:rsidR="00A93D6B" w:rsidRPr="00216D20" w14:paraId="56040340" w14:textId="77777777" w:rsidTr="00C705CD">
              <w:trPr>
                <w:trHeight w:val="1063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0A17CC" w14:textId="651A7741" w:rsidR="00A93D6B" w:rsidRPr="00216D20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III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36A24930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wymurowanie ścian nośnych parteru</w:t>
                  </w:r>
                </w:p>
                <w:p w14:paraId="0ADE8C16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 przygotowanie i zalanie stropu nad parterem</w:t>
                  </w:r>
                </w:p>
                <w:p w14:paraId="1C3FB412" w14:textId="17AA15BF" w:rsidR="00A93D6B" w:rsidRPr="00216D20" w:rsidRDefault="00095999" w:rsidP="00095999">
                  <w:pPr>
                    <w:spacing w:after="0"/>
                    <w:rPr>
                      <w:rFonts w:ascii="Times New Roman" w:eastAsia="Lato" w:hAnsi="Times New Roman" w:cs="Times New Roman"/>
                      <w:highlight w:val="yellow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 xml:space="preserve">- zalanie schodów parteru 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2EBCA8A" w14:textId="0B039D6A" w:rsidR="00A93D6B" w:rsidRPr="00D37346" w:rsidRDefault="00C705CD" w:rsidP="00D37346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  <w:highlight w:val="yellow"/>
                    </w:rPr>
                  </w:pPr>
                  <w:r w:rsidRPr="00C705CD">
                    <w:rPr>
                      <w:rFonts w:ascii="Times New Roman" w:eastAsia="Lato" w:hAnsi="Times New Roman" w:cs="Times New Roman"/>
                      <w:b/>
                      <w:bCs/>
                    </w:rPr>
                    <w:t>13%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6C5FA06" w14:textId="77777777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20.06.2024</w:t>
                  </w:r>
                </w:p>
                <w:p w14:paraId="3AC5EC38" w14:textId="5F25600E" w:rsidR="00A93D6B" w:rsidRPr="00C705CD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</w:p>
              </w:tc>
            </w:tr>
            <w:tr w:rsidR="00A93D6B" w:rsidRPr="00216D20" w14:paraId="7A99A0FA" w14:textId="77777777" w:rsidTr="00C705CD">
              <w:trPr>
                <w:trHeight w:val="508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2FD7F18" w14:textId="435DD23A" w:rsidR="00A93D6B" w:rsidRPr="00216D20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IV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BAEE5D5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wymurowanie ścian nośnych piętra</w:t>
                  </w:r>
                </w:p>
                <w:p w14:paraId="5FB3F7A4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 zalanie stropu nad poziomem „1”</w:t>
                  </w:r>
                </w:p>
                <w:p w14:paraId="0201BB8D" w14:textId="3644D6BB" w:rsidR="00A93D6B" w:rsidRPr="00BA313B" w:rsidRDefault="00095999" w:rsidP="00BA313B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zalanie schodów piętro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784BF35" w14:textId="1D45B3B8" w:rsidR="00A93D6B" w:rsidRPr="00D37346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  <w:highlight w:val="yellow"/>
                    </w:rPr>
                  </w:pPr>
                  <w:r w:rsidRPr="00D37346"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 </w:t>
                  </w:r>
                  <w:r w:rsidR="00C705CD"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12%</w:t>
                  </w:r>
                </w:p>
              </w:tc>
              <w:tc>
                <w:tcPr>
                  <w:tcW w:w="141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F9EAE39" w14:textId="77777777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15.09.2024</w:t>
                  </w:r>
                </w:p>
                <w:p w14:paraId="5AA80376" w14:textId="19AC7DC4" w:rsidR="00A93D6B" w:rsidRPr="00C705CD" w:rsidRDefault="00A93D6B" w:rsidP="00D37346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</w:p>
              </w:tc>
            </w:tr>
            <w:tr w:rsidR="00C705CD" w:rsidRPr="00216D20" w14:paraId="7140E712" w14:textId="77777777" w:rsidTr="00C705CD">
              <w:trPr>
                <w:trHeight w:val="701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2C19239" w14:textId="0156DE34" w:rsidR="00C705CD" w:rsidRPr="00216D20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V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D84E9D8" w14:textId="7621223E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wymurowanie ścian nośnych  p</w:t>
                  </w:r>
                  <w:r w:rsidR="005E57D5">
                    <w:rPr>
                      <w:rFonts w:ascii="CIDFont+F2" w:eastAsiaTheme="minorHAnsi" w:hAnsi="CIDFont+F2" w:cs="CIDFont+F2"/>
                      <w:lang w:eastAsia="en-US"/>
                    </w:rPr>
                    <w:t>oddasza</w:t>
                  </w:r>
                </w:p>
                <w:p w14:paraId="6F0C010C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wymurowanie ścian działowych parter , piętro i poddasze</w:t>
                  </w:r>
                </w:p>
                <w:p w14:paraId="07139B35" w14:textId="6AACF0D2" w:rsidR="00C705CD" w:rsidRPr="00216D20" w:rsidRDefault="00095999" w:rsidP="00095999">
                  <w:pPr>
                    <w:spacing w:after="0"/>
                    <w:rPr>
                      <w:rFonts w:ascii="Times New Roman" w:eastAsia="Lato" w:hAnsi="Times New Roman" w:cs="Times New Roman"/>
                      <w:highlight w:val="yellow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  zalanie stropodachu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635F588" w14:textId="6A91DA24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  <w:highlight w:val="yellow"/>
                    </w:rPr>
                  </w:pPr>
                  <w:r w:rsidRPr="00D37346"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10%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3A73E7E" w14:textId="77777777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31.12.2024</w:t>
                  </w:r>
                </w:p>
                <w:p w14:paraId="2F191B81" w14:textId="223DCBD1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  <w:highlight w:val="yellow"/>
                    </w:rPr>
                  </w:pPr>
                </w:p>
              </w:tc>
            </w:tr>
            <w:tr w:rsidR="00C705CD" w:rsidRPr="00216D20" w14:paraId="2C91D6B8" w14:textId="77777777" w:rsidTr="00C705CD">
              <w:trPr>
                <w:trHeight w:val="701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61ED9B1E" w14:textId="7C973047" w:rsidR="00C705CD" w:rsidRPr="00216D20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VI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272A2B84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montaż okien</w:t>
                  </w:r>
                </w:p>
                <w:p w14:paraId="17D4310F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wykonanie termoizolacji budynków</w:t>
                  </w:r>
                </w:p>
                <w:p w14:paraId="426AD894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przygotowanie powierzchni do położenia tynku strukturalnego</w:t>
                  </w:r>
                </w:p>
                <w:p w14:paraId="7364B838" w14:textId="56A84CFC" w:rsidR="00C705CD" w:rsidRPr="00216D20" w:rsidRDefault="00095999" w:rsidP="00095999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instalacji wewnętrznych w budynku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9FC32E1" w14:textId="5A2BB69E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</w:pPr>
                  <w:r w:rsidRPr="00D37346"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10%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19C0BE4" w14:textId="77777777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30.04.2025</w:t>
                  </w:r>
                </w:p>
                <w:p w14:paraId="5B38C95D" w14:textId="15ECD3A0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</w:p>
              </w:tc>
            </w:tr>
            <w:tr w:rsidR="00C705CD" w:rsidRPr="00216D20" w14:paraId="3E4062EB" w14:textId="77777777" w:rsidTr="00C705CD">
              <w:trPr>
                <w:trHeight w:val="701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71E713D4" w14:textId="4F240742" w:rsidR="00C705CD" w:rsidRPr="00216D20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lastRenderedPageBreak/>
                    <w:t>Etap VII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3F44B5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 wykonanie tynków wewnętrznych,</w:t>
                  </w:r>
                </w:p>
                <w:p w14:paraId="503B8116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 wykonanie szlicht na podłogach</w:t>
                  </w:r>
                </w:p>
                <w:p w14:paraId="15D3FEB7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tynku strukturalnego na elewacji</w:t>
                  </w:r>
                </w:p>
                <w:p w14:paraId="00DF752C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pokrycia dachowego</w:t>
                  </w:r>
                </w:p>
                <w:p w14:paraId="179EBF6D" w14:textId="77777777" w:rsidR="00095999" w:rsidRDefault="00095999" w:rsidP="00095999">
                  <w:pPr>
                    <w:autoSpaceDE w:val="0"/>
                    <w:autoSpaceDN w:val="0"/>
                    <w:adjustRightInd w:val="0"/>
                    <w:spacing w:line="256" w:lineRule="auto"/>
                    <w:rPr>
                      <w:rFonts w:ascii="CIDFont+F2" w:eastAsiaTheme="minorHAnsi" w:hAnsi="CIDFont+F2" w:cs="CIDFont+F2"/>
                      <w:lang w:eastAsia="en-US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montaż drzwi zewnętrznych</w:t>
                  </w:r>
                </w:p>
                <w:p w14:paraId="48F094B1" w14:textId="04A4460D" w:rsidR="00C705CD" w:rsidRPr="00216D20" w:rsidRDefault="00095999" w:rsidP="00095999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  <w:r>
                    <w:rPr>
                      <w:rFonts w:ascii="CIDFont+F2" w:eastAsiaTheme="minorHAnsi" w:hAnsi="CIDFont+F2" w:cs="CIDFont+F2"/>
                      <w:lang w:eastAsia="en-US"/>
                    </w:rPr>
                    <w:t>- wykonanie ogrzewania podłogowego</w:t>
                  </w: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0851AB3" w14:textId="7624E8D2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</w:pPr>
                  <w:r w:rsidRPr="00D37346"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13%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BA9648" w14:textId="1BE39575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3</w:t>
                  </w:r>
                  <w:r w:rsidR="00385547">
                    <w:rPr>
                      <w:rFonts w:cs="Arial"/>
                      <w:sz w:val="18"/>
                      <w:szCs w:val="18"/>
                      <w:lang w:eastAsia="en-US"/>
                    </w:rPr>
                    <w:t>1</w:t>
                  </w: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.0</w:t>
                  </w:r>
                  <w:r w:rsidR="00385547">
                    <w:rPr>
                      <w:rFonts w:cs="Arial"/>
                      <w:sz w:val="18"/>
                      <w:szCs w:val="18"/>
                      <w:lang w:eastAsia="en-US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.202</w:t>
                  </w:r>
                  <w:r w:rsidR="00385547">
                    <w:rPr>
                      <w:rFonts w:cs="Arial"/>
                      <w:sz w:val="18"/>
                      <w:szCs w:val="18"/>
                      <w:lang w:eastAsia="en-US"/>
                    </w:rPr>
                    <w:t>6</w:t>
                  </w:r>
                </w:p>
                <w:p w14:paraId="1D5E1B0C" w14:textId="756F0578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</w:p>
              </w:tc>
            </w:tr>
            <w:tr w:rsidR="00C705CD" w:rsidRPr="00216D20" w14:paraId="6F4C240C" w14:textId="77777777" w:rsidTr="00C705CD">
              <w:trPr>
                <w:trHeight w:val="701"/>
              </w:trPr>
              <w:tc>
                <w:tcPr>
                  <w:tcW w:w="1112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71F96C1" w14:textId="343750E9" w:rsidR="00C705CD" w:rsidRPr="00216D20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  <w:r w:rsidRPr="00192814">
                    <w:rPr>
                      <w:rFonts w:asciiTheme="minorHAnsi" w:hAnsiTheme="minorHAnsi" w:cstheme="minorHAnsi"/>
                      <w:lang w:eastAsia="en-US"/>
                    </w:rPr>
                    <w:t>Etap VIII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1222065" w14:textId="77777777" w:rsidR="00095999" w:rsidRDefault="00095999" w:rsidP="00095999">
                  <w:pPr>
                    <w:pStyle w:val="Style1"/>
                    <w:snapToGrid w:val="0"/>
                    <w:spacing w:before="30" w:line="100" w:lineRule="atLeast"/>
                    <w:jc w:val="left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wykonanie instalacji zewnętrznych</w:t>
                  </w:r>
                </w:p>
                <w:p w14:paraId="2541B004" w14:textId="77777777" w:rsidR="00095999" w:rsidRDefault="00095999" w:rsidP="00095999">
                  <w:pPr>
                    <w:pStyle w:val="Style1"/>
                    <w:snapToGrid w:val="0"/>
                    <w:spacing w:before="30" w:line="100" w:lineRule="atLeast"/>
                    <w:jc w:val="left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wykonanie zagospodarowania  terenu (ogrodzenie, podjazd do budynku),</w:t>
                  </w:r>
                </w:p>
                <w:p w14:paraId="640A3D74" w14:textId="77777777" w:rsidR="00095999" w:rsidRDefault="00095999" w:rsidP="00095999">
                  <w:pPr>
                    <w:pStyle w:val="Style1"/>
                    <w:snapToGrid w:val="0"/>
                    <w:spacing w:before="30" w:line="100" w:lineRule="atLeast"/>
                    <w:jc w:val="left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montaż pieców, rekuperatorów ;</w:t>
                  </w:r>
                </w:p>
                <w:p w14:paraId="77E46739" w14:textId="77777777" w:rsidR="00095999" w:rsidRDefault="00095999" w:rsidP="00095999">
                  <w:pPr>
                    <w:pStyle w:val="Style1"/>
                    <w:snapToGrid w:val="0"/>
                    <w:spacing w:before="30" w:line="100" w:lineRule="atLeast"/>
                    <w:jc w:val="left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- brak sprzeciwu właściwego organu w ciągu 14 dni od złożenia zawiadomienia o zakończeniu budowy i zamiarze przystąpienia do użytkowania lub uzyskanie prawomocnej decyzji o pozwoleniu na użytkowanie.</w:t>
                  </w:r>
                </w:p>
                <w:p w14:paraId="1058FEFB" w14:textId="77777777" w:rsidR="00095999" w:rsidRDefault="00095999" w:rsidP="00095999">
                  <w:pPr>
                    <w:pStyle w:val="Style1"/>
                    <w:snapToGrid w:val="0"/>
                    <w:spacing w:before="30" w:line="100" w:lineRule="atLeast"/>
                    <w:jc w:val="left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</w:p>
                <w:p w14:paraId="413A8DAB" w14:textId="77777777" w:rsidR="00095999" w:rsidRDefault="00095999" w:rsidP="00095999">
                  <w:pPr>
                    <w:pStyle w:val="Style1"/>
                    <w:snapToGrid w:val="0"/>
                    <w:spacing w:before="30" w:line="100" w:lineRule="atLeast"/>
                    <w:jc w:val="left"/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 xml:space="preserve">Własność lokalu zostanie przeniesiona na nabywcę po zakończeniu </w:t>
                  </w:r>
                  <w:r>
                    <w:rPr>
                      <w:rFonts w:asciiTheme="minorHAnsi" w:hAnsiTheme="minorHAnsi" w:cstheme="minorHAnsi"/>
                      <w:b/>
                      <w:bCs/>
                      <w:i w:val="0"/>
                      <w:iCs w:val="0"/>
                      <w:sz w:val="20"/>
                      <w:szCs w:val="20"/>
                    </w:rPr>
                    <w:t>VIII ETAPU</w:t>
                  </w:r>
                  <w:r>
                    <w:rPr>
                      <w:rFonts w:asciiTheme="minorHAnsi" w:hAnsiTheme="minorHAnsi" w:cstheme="minorHAnsi"/>
                      <w:i w:val="0"/>
                      <w:iCs w:val="0"/>
                      <w:sz w:val="20"/>
                      <w:szCs w:val="20"/>
                    </w:rPr>
                    <w:t>.</w:t>
                  </w:r>
                </w:p>
                <w:p w14:paraId="21E74B99" w14:textId="77777777" w:rsidR="00C705CD" w:rsidRPr="00216D20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14BEC1F" w14:textId="55A708EB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</w:pPr>
                  <w:r w:rsidRPr="00D37346"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 </w:t>
                  </w:r>
                  <w:r>
                    <w:rPr>
                      <w:rFonts w:ascii="Times New Roman" w:eastAsia="Lato" w:hAnsi="Times New Roman" w:cs="Times New Roman"/>
                      <w:b/>
                      <w:bCs/>
                      <w:color w:val="000000"/>
                    </w:rPr>
                    <w:t>10%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8" w:space="0" w:color="000000"/>
                    <w:right w:val="single" w:sz="12" w:space="0" w:color="000000"/>
                  </w:tcBorders>
                  <w:shd w:val="clear" w:color="auto" w:fill="D9D9D9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5F9DA6BD" w14:textId="0827F4C8" w:rsidR="00A320A8" w:rsidRDefault="00A320A8" w:rsidP="00A320A8">
                  <w:pPr>
                    <w:pStyle w:val="Tekstpodstawowy"/>
                    <w:tabs>
                      <w:tab w:val="left" w:pos="4962"/>
                      <w:tab w:val="left" w:pos="6100"/>
                    </w:tabs>
                    <w:spacing w:after="0" w:line="256" w:lineRule="auto"/>
                    <w:rPr>
                      <w:rFonts w:eastAsia="Times New Roman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do  3</w:t>
                  </w:r>
                  <w:r w:rsidR="00CC6E96">
                    <w:rPr>
                      <w:rFonts w:cs="Arial"/>
                      <w:sz w:val="18"/>
                      <w:szCs w:val="18"/>
                      <w:lang w:eastAsia="en-US"/>
                    </w:rPr>
                    <w:t>0</w:t>
                  </w: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.</w:t>
                  </w:r>
                  <w:r w:rsidR="00CC6E96">
                    <w:rPr>
                      <w:rFonts w:cs="Arial"/>
                      <w:sz w:val="18"/>
                      <w:szCs w:val="18"/>
                      <w:lang w:eastAsia="en-US"/>
                    </w:rPr>
                    <w:t>0</w:t>
                  </w:r>
                  <w:r w:rsidR="00385547">
                    <w:rPr>
                      <w:rFonts w:cs="Arial"/>
                      <w:sz w:val="18"/>
                      <w:szCs w:val="18"/>
                      <w:lang w:eastAsia="en-US"/>
                    </w:rPr>
                    <w:t>9</w:t>
                  </w:r>
                  <w:r>
                    <w:rPr>
                      <w:rFonts w:cs="Arial"/>
                      <w:sz w:val="18"/>
                      <w:szCs w:val="18"/>
                      <w:lang w:eastAsia="en-US"/>
                    </w:rPr>
                    <w:t>.202</w:t>
                  </w:r>
                  <w:r w:rsidR="00CC6E96">
                    <w:rPr>
                      <w:rFonts w:cs="Arial"/>
                      <w:sz w:val="18"/>
                      <w:szCs w:val="18"/>
                      <w:lang w:eastAsia="en-US"/>
                    </w:rPr>
                    <w:t>6</w:t>
                  </w:r>
                </w:p>
                <w:p w14:paraId="18AE3C4D" w14:textId="133D9CEA" w:rsidR="00C705CD" w:rsidRPr="00D37346" w:rsidRDefault="00C705CD" w:rsidP="00C705CD">
                  <w:pPr>
                    <w:spacing w:after="0"/>
                    <w:rPr>
                      <w:rFonts w:ascii="Times New Roman" w:eastAsia="Lato" w:hAnsi="Times New Roman" w:cs="Times New Roman"/>
                      <w:color w:val="000000"/>
                    </w:rPr>
                  </w:pPr>
                </w:p>
              </w:tc>
            </w:tr>
          </w:tbl>
          <w:p w14:paraId="570FC48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45F64075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2AAA5AB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Dopuszczenie waloryzacji ceny oraz określenie zasad waloryzacji</w:t>
            </w:r>
          </w:p>
        </w:tc>
        <w:tc>
          <w:tcPr>
            <w:tcW w:w="8453" w:type="dxa"/>
            <w:gridSpan w:val="4"/>
            <w:vAlign w:val="top"/>
          </w:tcPr>
          <w:p w14:paraId="629E3339" w14:textId="77777777" w:rsidR="00A93D6B" w:rsidRPr="00CD3DD3" w:rsidRDefault="00A93D6B" w:rsidP="00D37346">
            <w:pPr>
              <w:autoSpaceDE w:val="0"/>
              <w:jc w:val="both"/>
              <w:rPr>
                <w:rFonts w:eastAsia="Arial" w:cstheme="minorHAnsi"/>
                <w:sz w:val="20"/>
                <w:szCs w:val="20"/>
              </w:rPr>
            </w:pPr>
            <w:r w:rsidRPr="00CD3DD3">
              <w:rPr>
                <w:rFonts w:eastAsia="Arial" w:cstheme="minorHAnsi"/>
                <w:sz w:val="20"/>
                <w:szCs w:val="20"/>
              </w:rPr>
              <w:t>1. W przypadku zlecenia przez Nabywcę wykonania robót dodatkowych lub zastępczych, na podstawie protokołu uzgodnień podpisanego przez strony przed wykonaniem tych robót.</w:t>
            </w:r>
          </w:p>
          <w:p w14:paraId="6A1FF356" w14:textId="77777777" w:rsidR="00A93D6B" w:rsidRPr="00CD3DD3" w:rsidRDefault="00A93D6B" w:rsidP="00D37346">
            <w:pPr>
              <w:jc w:val="both"/>
              <w:rPr>
                <w:rFonts w:eastAsia="Arial" w:cstheme="minorHAnsi"/>
                <w:sz w:val="20"/>
                <w:szCs w:val="20"/>
              </w:rPr>
            </w:pPr>
            <w:r w:rsidRPr="00CD3DD3">
              <w:rPr>
                <w:rFonts w:eastAsia="Arial" w:cstheme="minorHAnsi"/>
                <w:sz w:val="20"/>
                <w:szCs w:val="20"/>
              </w:rPr>
              <w:t xml:space="preserve">2 W przypadku gdy rzeczywista powierzchnia lokalu będzie większa o 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CD3DD3">
              <w:rPr>
                <w:rFonts w:eastAsia="Arial" w:cstheme="minorHAnsi"/>
                <w:sz w:val="20"/>
                <w:szCs w:val="20"/>
              </w:rPr>
              <w:t>% od projektowanej powierzchni lokalu cena lokalu ulegnie waloryzacji o procentową wartość różnicy powierzchni rzeczywistej wobec projektowanej. W przypadku gdy rzeczywista powier</w:t>
            </w:r>
            <w:r>
              <w:rPr>
                <w:rFonts w:eastAsia="Arial" w:cstheme="minorHAnsi"/>
                <w:sz w:val="20"/>
                <w:szCs w:val="20"/>
              </w:rPr>
              <w:t xml:space="preserve">zchnia lokalu będzie większa o 2 </w:t>
            </w:r>
            <w:r w:rsidRPr="00CD3DD3">
              <w:rPr>
                <w:rFonts w:eastAsia="Arial" w:cstheme="minorHAnsi"/>
                <w:sz w:val="20"/>
                <w:szCs w:val="20"/>
              </w:rPr>
              <w:t>% od projektowanej powierzchni lokalu, nabywcy przysługuje alternatywnie prawo odstąpienia od umowy.</w:t>
            </w:r>
          </w:p>
          <w:p w14:paraId="64665C77" w14:textId="66C71E14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eastAsia="Arial" w:cstheme="minorHAnsi"/>
                <w:sz w:val="20"/>
                <w:szCs w:val="20"/>
              </w:rPr>
              <w:t xml:space="preserve"> W przypadku gdy rzeczywista powierzchnia lokalu będzie mniejsza o 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CD3DD3">
              <w:rPr>
                <w:rFonts w:eastAsia="Arial" w:cstheme="minorHAnsi"/>
                <w:sz w:val="20"/>
                <w:szCs w:val="20"/>
              </w:rPr>
              <w:t xml:space="preserve">% od projektowanej powierzchni lokalu, cena lokalu ulegnie waloryzacji o procentową wartość różnicy powierzchni rzeczywistej wobec projektowanej. W przypadku gdy rzeczywista powierzchnia lokalu będzie mniejsza o </w:t>
            </w:r>
            <w:r>
              <w:rPr>
                <w:rFonts w:eastAsia="Arial" w:cstheme="minorHAnsi"/>
                <w:sz w:val="20"/>
                <w:szCs w:val="20"/>
              </w:rPr>
              <w:t xml:space="preserve">2 </w:t>
            </w:r>
            <w:r w:rsidRPr="00CD3DD3">
              <w:rPr>
                <w:rFonts w:eastAsia="Arial" w:cstheme="minorHAnsi"/>
                <w:sz w:val="20"/>
                <w:szCs w:val="20"/>
              </w:rPr>
              <w:t>% od projektowanej powierzchni lokalu, nabywcy przysługuje alternatywnie prawo odstąpienia od umowy.</w:t>
            </w:r>
          </w:p>
        </w:tc>
      </w:tr>
      <w:tr w:rsidR="00A93D6B" w:rsidRPr="00216D20" w14:paraId="75BA7F72" w14:textId="77777777" w:rsidTr="00413F25">
        <w:trPr>
          <w:trHeight w:val="612"/>
        </w:trPr>
        <w:tc>
          <w:tcPr>
            <w:tcW w:w="10378" w:type="dxa"/>
            <w:gridSpan w:val="5"/>
            <w:shd w:val="clear" w:color="auto" w:fill="BFBFBF"/>
            <w:vAlign w:val="top"/>
          </w:tcPr>
          <w:p w14:paraId="1313B2A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WARUNKI ODSTĄPIENIA OD UMOWY DEWELOPERSKIEJ</w:t>
            </w:r>
          </w:p>
        </w:tc>
      </w:tr>
      <w:tr w:rsidR="00A93D6B" w:rsidRPr="00216D20" w14:paraId="75A786DA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0EB8282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Warunki, na jakich można odstąpić od umowy deweloperskiej lub jednej z umów, o których mowa w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art. 2 ust. 1 pkt 2, 3 lub 5 ustawy z dnia 20 maja 2021 r. o ochronie praw nabywcy lokalu mieszkalnego lub domu jednorodzinnego oraz Deweloperskim Funduszu Gwarancyjnym</w:t>
            </w:r>
          </w:p>
        </w:tc>
        <w:tc>
          <w:tcPr>
            <w:tcW w:w="8453" w:type="dxa"/>
            <w:gridSpan w:val="4"/>
            <w:vAlign w:val="top"/>
          </w:tcPr>
          <w:p w14:paraId="7C8756C5" w14:textId="77777777" w:rsidR="00A93D6B" w:rsidRPr="00CD3DD3" w:rsidRDefault="00A93D6B" w:rsidP="00D37346">
            <w:pPr>
              <w:shd w:val="clear" w:color="auto" w:fill="FFFFFF"/>
              <w:suppressAutoHyphens/>
              <w:snapToGrid w:val="0"/>
              <w:spacing w:before="30" w:line="270" w:lineRule="exact"/>
              <w:jc w:val="both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  <w:lastRenderedPageBreak/>
              <w:t>Nabywca ma prawo odstąpić od umowy  deweloperskiej:</w:t>
            </w:r>
          </w:p>
          <w:p w14:paraId="20AE75D6" w14:textId="00FB88CA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1. w terminie 30 dni od daty zawarcia umowy, jeżeli umowa deweloperska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nie zawiera odpowiednio elementów, o których mowa w art. 35, albo elementów, o których mowa w art. 36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Ustaw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>y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z dnia 20 maja 2021 r. o ochronie praw nabywcy lokalu mieszkalnego lub domu jednorodzinnego oraz Deweloperskim Funduszu Gwarancyjnym (</w:t>
            </w:r>
            <w:proofErr w:type="spellStart"/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t.j</w:t>
            </w:r>
            <w:proofErr w:type="spellEnd"/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. Dz. U. z 2024 r. poz. 695)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(dalej jako Ustawa)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</w:p>
          <w:p w14:paraId="609E1C41" w14:textId="264F7D3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lastRenderedPageBreak/>
              <w:t xml:space="preserve">2. w terminie 30 dni od daty zawarcia umowy, jeżeli informacje zawarte w umowie deweloperskiej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nie są zgodne z informacjami zawartymi w prospekcie informacyjnym lub jego załącznikach, z wyjątkiem zmian, o których mowa w art. 35 ust. 2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U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stawy</w:t>
            </w:r>
          </w:p>
          <w:p w14:paraId="4AAC26DC" w14:textId="4EFFFF19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3. w terminie 30 dni od daty zawarcia umowy,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jeżeli deweloper nie doręczył zgodnie z art. 21 lub art. 22 prospektu informacyjnego wraz z załącznikami lub informacji o zmianie danych lub informacji zawartych w prospekcie informacyjnym lub jego załącznikach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</w:p>
          <w:p w14:paraId="7E94BF62" w14:textId="28F603A3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4. w terminie 30 dni od daty zawarcia umowy,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jeżeli dane lub informacje zawarte w prospekcie informacyjnym lub jego załącznikach, na podstawie których zawarto umowę deweloperską albo umowę, o której mowa w art. 2 ust. 1 pkt 2, 3 lub 5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, są niezgodne ze stanem faktycznym lub prawnym w dniu zawarcia umowy</w:t>
            </w:r>
            <w:r w:rsidR="00D37085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</w:p>
          <w:p w14:paraId="612C5895" w14:textId="625ED685" w:rsidR="00D37085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5. w terminie 30 dni od daty zawarcia umowy, </w:t>
            </w:r>
            <w:r w:rsidR="00D37085" w:rsidRPr="00D37085">
              <w:rPr>
                <w:rFonts w:eastAsia="Arial" w:cstheme="minorHAnsi"/>
                <w:sz w:val="20"/>
                <w:szCs w:val="20"/>
                <w:lang w:eastAsia="ar-SA"/>
              </w:rPr>
              <w:t>jeżeli prospekt informacyjny, na podstawie którego zawarto umowę deweloperską nie zawiera danych lub informacji określonych we wzorze prospektu informacyjnego</w:t>
            </w:r>
          </w:p>
          <w:p w14:paraId="7EEEF4A1" w14:textId="671FA795" w:rsidR="00A93D6B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6. w przypadku </w:t>
            </w:r>
            <w:proofErr w:type="spellStart"/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nieprzeniesieni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>a</w:t>
            </w:r>
            <w:proofErr w:type="spellEnd"/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 na nabywcę </w:t>
            </w:r>
            <w:r w:rsidR="00D219BC" w:rsidRPr="00D219BC">
              <w:rPr>
                <w:rFonts w:eastAsia="Arial" w:cstheme="minorHAnsi"/>
                <w:sz w:val="20"/>
                <w:szCs w:val="20"/>
                <w:lang w:eastAsia="ar-SA"/>
              </w:rPr>
              <w:t>wynikających z umowy deweloperskiej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="00D219BC" w:rsidRPr="00D219BC">
              <w:rPr>
                <w:rFonts w:eastAsia="Arial" w:cstheme="minorHAnsi"/>
                <w:sz w:val="20"/>
                <w:szCs w:val="20"/>
                <w:lang w:eastAsia="ar-SA"/>
              </w:rPr>
              <w:t>w terminie wynikającym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z tej umowy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, pomimo wyznaczenia deweloperowi dodatkowego 120-dniowego terminu na przeniesienie tego prawa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i bezskutecznym upływie dodatkowego terminu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, z zachowaniem roszczenia z tytułu kary umownej za okres opóźnienia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>,</w:t>
            </w:r>
          </w:p>
          <w:p w14:paraId="446CFBFF" w14:textId="0EDD3812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7.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gdy deweloper nie zawrze umowy mieszkaniowego rachunku powierniczego z innym bankiem lub inną kasą w trybie i terminie, o których mowa w art. 10 ust. 1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Ustawy,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po dokonaniu przez bank lub kasę zwrotu środków zgodnie z art. 10 ust. 3.</w:t>
            </w:r>
          </w:p>
          <w:p w14:paraId="5B8D913F" w14:textId="77777777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8.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gdy deweloper nie posiada zgody wierzyciela hipotecznego lub zobowiązania do jej udzielenia, o których mowa w art. 25 ust. 1 pkt 1 lub 2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terminie 60 dni od dnia jej zawarcia;</w:t>
            </w:r>
          </w:p>
          <w:p w14:paraId="2001C3AB" w14:textId="7EB31C9E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9.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niewykonania przez dewelopera obowiązku, o którym mowa w art. 12 ust. 2, w terminie określonym w tym przepisie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po upływie 60 dni od dnia podania do publicznej wiadomości informacji, o których mowa w art. 12 ust. 1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</w:p>
          <w:p w14:paraId="089845C0" w14:textId="11AC05D9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10.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nieusunięcia przez dewelopera wady istotnej lokalu mieszkalnego albo domu jednorodzinnego na zasadac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>h określonych w art. 41 ust. 11 Ustawy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;</w:t>
            </w:r>
          </w:p>
          <w:p w14:paraId="57BCB3E6" w14:textId="2824B7B8" w:rsidR="00D219BC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11.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stwierdzenia przez rzeczoznawcę istnienia wady istotnej, o którym mowa w art. 41 ust. 15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Ustawy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;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</w:p>
          <w:p w14:paraId="30E2DD1C" w14:textId="3079B7C7" w:rsidR="00D219BC" w:rsidRPr="00CD3DD3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 xml:space="preserve">12. </w:t>
            </w:r>
            <w:r w:rsidRPr="00D219BC">
              <w:rPr>
                <w:rFonts w:eastAsia="Arial" w:cstheme="minorHAnsi"/>
                <w:sz w:val="20"/>
                <w:szCs w:val="20"/>
                <w:lang w:eastAsia="ar-SA"/>
              </w:rPr>
              <w:t>jeżeli syndyk zażądał wykonania umowy na podstawie art. 98 ustawy z dnia 28 lutego 2003 r. - Prawo upadłościowe</w:t>
            </w:r>
          </w:p>
          <w:p w14:paraId="302BB7E1" w14:textId="030FFF18" w:rsidR="00A93D6B" w:rsidRPr="00CD3DD3" w:rsidRDefault="00D219BC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>
              <w:rPr>
                <w:rFonts w:eastAsia="Arial" w:cstheme="minorHAnsi"/>
                <w:sz w:val="20"/>
                <w:szCs w:val="20"/>
                <w:lang w:eastAsia="ar-SA"/>
              </w:rPr>
              <w:t>13</w:t>
            </w:r>
            <w:r w:rsidR="00A93D6B" w:rsidRPr="00CD3DD3">
              <w:rPr>
                <w:rFonts w:eastAsia="Arial" w:cstheme="minorHAnsi"/>
                <w:sz w:val="20"/>
                <w:szCs w:val="20"/>
                <w:lang w:eastAsia="ar-SA"/>
              </w:rPr>
              <w:t>. w przypadku</w:t>
            </w:r>
            <w:r w:rsidR="00A93D6B">
              <w:rPr>
                <w:rFonts w:eastAsia="Arial" w:cstheme="minorHAnsi"/>
                <w:sz w:val="20"/>
                <w:szCs w:val="20"/>
                <w:lang w:eastAsia="ar-SA"/>
              </w:rPr>
              <w:t xml:space="preserve"> gdy rzeczywista powierzchnia lokalu jest większa albo mniejsza o 2% od powierzchni projektowanej.</w:t>
            </w:r>
          </w:p>
          <w:p w14:paraId="183A0217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046EED8C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Oświadczenie woli nabywcy o odstąpieniu od umowy deweloperskiej jest skuteczne, jeżeli zawiera zgodę na wykreślenie roszczenia o przeniesienie własności nieruchomości złożone w formie pisemnej z podpisami notarialnie poświadczonymi, w przypadku gdy został złożony wniosek o wpis takiego roszczenia do księgi wieczystej</w:t>
            </w:r>
          </w:p>
          <w:p w14:paraId="2E9BC863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b/>
                <w:bCs/>
                <w:sz w:val="20"/>
                <w:szCs w:val="20"/>
                <w:lang w:eastAsia="ar-SA"/>
              </w:rPr>
              <w:t>Deweloper ma prawo odstąpić od umowy deweloperskiej:</w:t>
            </w:r>
          </w:p>
          <w:p w14:paraId="29633E1B" w14:textId="32AA36DB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 xml:space="preserve">1. w przypadku niespełnienia przez Nabywcę </w:t>
            </w:r>
            <w:r w:rsidR="00D219BC" w:rsidRPr="00D219BC">
              <w:rPr>
                <w:rFonts w:eastAsia="Arial" w:cstheme="minorHAnsi"/>
                <w:sz w:val="20"/>
                <w:szCs w:val="20"/>
                <w:lang w:eastAsia="ar-SA"/>
              </w:rPr>
              <w:t>w przypadku niespełnienia przez nabywcę świadczenia pieniężnego w terminie lub wysokości określonych w umowie, mimo wezwania nabywcy w formie pisemnej do uiszczenia zaległych kwot w terminie 30 dni od dnia doręczenia wezwania, chyba że niespełnienie przez nabywcę świadczenia pieniężnego jest spowodowane działaniem siły wyższej.</w:t>
            </w:r>
            <w:r w:rsidR="00D219BC">
              <w:rPr>
                <w:rFonts w:eastAsia="Arial" w:cstheme="minorHAnsi"/>
                <w:sz w:val="20"/>
                <w:szCs w:val="20"/>
                <w:lang w:eastAsia="ar-SA"/>
              </w:rPr>
              <w:t xml:space="preserve"> </w:t>
            </w: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Deweloper zachowuje przy tym roszczenie z tytułu kary umownej za okres opóźnienia płatności</w:t>
            </w:r>
          </w:p>
          <w:p w14:paraId="5F5257DD" w14:textId="77777777" w:rsidR="00A93D6B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2. w przypadku niestawienia się Nabywcy do odbioru lokalu lub podpisania aktu notarialnego umowy przeniesienia własności, pomimo dwukrotnego doręczenia wezwania w formie pisemnej w odstępie co najmniej 60 dni, chyba że niestawienie się Nabywcy będzie spowodowane działaniem siły wyższej. Deweloper zachowuje przy tym roszczenie z tytułu kary umownej za niewłaściwe wykonanie umowy deweloperskiej</w:t>
            </w:r>
            <w:r>
              <w:rPr>
                <w:rFonts w:eastAsia="Arial" w:cstheme="minorHAnsi"/>
                <w:sz w:val="20"/>
                <w:szCs w:val="20"/>
                <w:lang w:eastAsia="ar-SA"/>
              </w:rPr>
              <w:t>.</w:t>
            </w:r>
          </w:p>
          <w:p w14:paraId="5D416D13" w14:textId="77777777" w:rsidR="00A93D6B" w:rsidRPr="00CD3DD3" w:rsidRDefault="00A93D6B" w:rsidP="00D37346">
            <w:pPr>
              <w:suppressAutoHyphens/>
              <w:autoSpaceDE w:val="0"/>
              <w:jc w:val="both"/>
              <w:rPr>
                <w:rFonts w:eastAsia="Arial" w:cstheme="minorHAnsi"/>
                <w:sz w:val="20"/>
                <w:szCs w:val="20"/>
                <w:lang w:eastAsia="ar-SA"/>
              </w:rPr>
            </w:pPr>
          </w:p>
          <w:p w14:paraId="49E87399" w14:textId="32025063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eastAsia="Arial" w:cstheme="minorHAnsi"/>
                <w:sz w:val="20"/>
                <w:szCs w:val="20"/>
                <w:lang w:eastAsia="ar-SA"/>
              </w:rPr>
              <w:t>W przypadku odstąpienia od umowy deweloperskiej przez Dewelopera, Nabywca zobowiązany będzie wyrazić zgodę na wykreślenie roszczenia o przeniesienie własności z księgi wieczystej w formie pisemnej z podpisem notarialnie poświadczonym.</w:t>
            </w:r>
          </w:p>
        </w:tc>
      </w:tr>
      <w:tr w:rsidR="00A93D6B" w:rsidRPr="00216D20" w14:paraId="475554CA" w14:textId="77777777" w:rsidTr="00413F25">
        <w:trPr>
          <w:trHeight w:val="612"/>
        </w:trPr>
        <w:tc>
          <w:tcPr>
            <w:tcW w:w="10378" w:type="dxa"/>
            <w:gridSpan w:val="5"/>
            <w:shd w:val="clear" w:color="auto" w:fill="BFBFBF"/>
            <w:vAlign w:val="top"/>
          </w:tcPr>
          <w:p w14:paraId="36ED43F8" w14:textId="240C4758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lastRenderedPageBreak/>
              <w:t>INNE INFORMACJE</w:t>
            </w:r>
          </w:p>
        </w:tc>
      </w:tr>
      <w:tr w:rsidR="00A93D6B" w:rsidRPr="00216D20" w14:paraId="095D1CF3" w14:textId="77777777" w:rsidTr="00413F25">
        <w:trPr>
          <w:trHeight w:val="612"/>
        </w:trPr>
        <w:tc>
          <w:tcPr>
            <w:tcW w:w="10378" w:type="dxa"/>
            <w:gridSpan w:val="5"/>
            <w:tcBorders>
              <w:bottom w:val="nil"/>
            </w:tcBorders>
            <w:shd w:val="clear" w:color="auto" w:fill="D9D9D9"/>
            <w:vAlign w:val="top"/>
          </w:tcPr>
          <w:p w14:paraId="2FA29F1A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I. Informacja o: </w:t>
            </w:r>
          </w:p>
          <w:p w14:paraId="0CBE7A7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1)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ustanowienie odrębnej własności lokalu mieszkalnego i przeniesienie jego własności na nabywcę po wpłacie pełnej ceny przez nabywcę lub </w:t>
            </w:r>
            <w:r w:rsidRPr="00216D20">
              <w:rPr>
                <w:rFonts w:ascii="Times New Roman" w:hAnsi="Times New Roman" w:cs="Times New Roman"/>
              </w:rPr>
              <w:lastRenderedPageBreak/>
              <w:t xml:space="preserve">zobowiązaniu do jej udzielenia, jeżeli takie obciążenie istnieje, albo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zobowiązaniu do jej udzielenia, jeżeli takie obciążenie istnieje; </w:t>
            </w:r>
          </w:p>
          <w:p w14:paraId="026E09A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 xml:space="preserve">2) w przypadku umów, o których mowa w art. 2 ust. 2 ustawy z dnia 20 maja 2021 r. o ochronie praw nabywcy lokalu mieszkalnego lub domu jednorodzinnego oraz Deweloperskim Funduszu Gwarancyjnym, o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własności lokalu użytkowego na nabywcę po wpłacie pełnej ceny przez nabywcę lub zobowiązaniu do udzielenia takiej zgody, jeżeli takie obciążenie istnieje, albo zgodzie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ułamkowej części własności lokalu użytkowego po wpłacie pełnej ceny przez nabywcę lub zobowiązaniu do udzielenia takiej zgody, jeżeli takie obciążenie istnieje.</w:t>
            </w:r>
          </w:p>
          <w:p w14:paraId="5274B88F" w14:textId="77777777" w:rsidR="00A93D6B" w:rsidRPr="00216D20" w:rsidRDefault="00A93D6B" w:rsidP="00D37346">
            <w:pPr>
              <w:spacing w:line="276" w:lineRule="auto"/>
              <w:ind w:left="28" w:right="57"/>
              <w:jc w:val="left"/>
              <w:rPr>
                <w:rFonts w:ascii="Times New Roman" w:eastAsia="Lato" w:hAnsi="Times New Roman" w:cs="Times New Roman"/>
              </w:rPr>
            </w:pPr>
          </w:p>
          <w:p w14:paraId="62D939F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II. Informacja o możliwości zapoznania się w lokalu przedsiębiorstwa przez osobę zainteresowaną zawarciem umowy odpowiednio do zakresu umowy z: </w:t>
            </w:r>
          </w:p>
          <w:p w14:paraId="4290A3EC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1) aktualnym stanem księgi wieczystej prowadzonej dla nieruchomości; </w:t>
            </w:r>
          </w:p>
          <w:p w14:paraId="41ED789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2) aktualnym odpisem, wyciągiem, zaświadczeniem lub wydrukiem komputerowym z Centralnej Informacji Krajowego Rejestru Sądowego, jeżeli podmiot podlega wpisowi do Krajowego Rejestru Sądowego, albo aktualnym zaświadczeniem o wpisie do Centralnej Ewidencji i Informacji o Działalności Gospodarczej; </w:t>
            </w:r>
          </w:p>
          <w:p w14:paraId="4E38FDB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3) pozwoleniem na budowę albo zgłoszeniem budowy, o którym mowa w art. 29 ust. 1 pkt 1 ustawy z dnia 7 lipca 1994 r. – Prawo budowlane, do którego organ administracji architektoniczno-budowlanej nie wniósł sprzeciwu; </w:t>
            </w:r>
          </w:p>
          <w:p w14:paraId="7B6B52A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4) sprawozdaniem finansowym dewelopera za ostatnie dwa lata, a w przypadku: </w:t>
            </w:r>
          </w:p>
          <w:p w14:paraId="5F4E37A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a) prowadzenia działalności przez okres krótszy niż dwa lata – sprawozdaniem finansowym za okres ostatniego roku, </w:t>
            </w:r>
          </w:p>
          <w:p w14:paraId="56B9754E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b) realizacji inwestycji przez spółkę celową – sprawozdaniem spółki dominującej oraz spółki celowej; </w:t>
            </w:r>
          </w:p>
          <w:p w14:paraId="23D60C4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5) projektem budowlanym; </w:t>
            </w:r>
          </w:p>
          <w:p w14:paraId="65A2AD1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6) decyzją o pozwoleniu na użytkowanie budynku lub zawiadomieniem o zakończeniu budowy, do którego organ nadzoru budowlanego nie wniósł sprzeciwu; </w:t>
            </w:r>
          </w:p>
          <w:p w14:paraId="2CD6C09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7) zaświadczeniem o samodzielności lokalu; </w:t>
            </w:r>
          </w:p>
          <w:p w14:paraId="45A64E8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8) aktem ustanowienia odrębnej własności lokalu;</w:t>
            </w:r>
          </w:p>
          <w:p w14:paraId="181F27F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9) dokumentem potwierdzającym: </w:t>
            </w:r>
          </w:p>
          <w:p w14:paraId="7E4D4542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a)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ustanowienie odrębnej własności lokalu mieszkalnego i przeniesienie jego własności na nabywcę po wpłacie pełnej ceny przez nabywcę lub zobowiązanie do jej udzielenia, jeżeli takie obciążenie istnieje, albo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własności nieruchomości wraz z domem jednorodzinnym lub użytkowania wieczystego nieruchomości gruntowej i własności domu jednorodzinnego stanowiącego odrębną nieruchomość, lub przeniesienie ułamkowej części własności nieruchomości wraz z prawem do wyłącznego korzystania z części nieruchomości służącej zaspokajaniu potrzeb mieszkaniowych po wpłacie pełnej ceny przez nabywcę lub zobowiązanie do jej udzielenia, jeżeli takie obciążenie istnieje, </w:t>
            </w:r>
          </w:p>
          <w:p w14:paraId="7566F1F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44" w:right="57" w:hanging="244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 xml:space="preserve">b) w przypadku umów, o których mowa w art. 2 ust. 2 ustawy z dnia 20 maja 2021 r. o ochronie praw nabywcy lokalu mieszkalnego lub domu jednorodzinnego oraz Deweloperskim Funduszu Gwarancyjnym,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własności lokalu użytkowego na nabywcę po wpłacie pełnej ceny przez nabywcę lub zobowiązanie do udzielenia takiej zgody, jeżeli takie obciążenie istnieje, albo zgodę banku lub innego wierzyciela hipotecznego na </w:t>
            </w:r>
            <w:proofErr w:type="spellStart"/>
            <w:r w:rsidRPr="00216D20">
              <w:rPr>
                <w:rFonts w:ascii="Times New Roman" w:hAnsi="Times New Roman" w:cs="Times New Roman"/>
              </w:rPr>
              <w:t>bezobciążeniowe</w:t>
            </w:r>
            <w:proofErr w:type="spellEnd"/>
            <w:r w:rsidRPr="00216D20">
              <w:rPr>
                <w:rFonts w:ascii="Times New Roman" w:hAnsi="Times New Roman" w:cs="Times New Roman"/>
              </w:rPr>
              <w:t xml:space="preserve"> przeniesienie na nabywcę ułamkowej części własności lokalu użytkowego po wpłacie pełnej ceny przez nabywcę lub zobowiązanie do udzielenia takiej zgody, jeżeli takie obciążenie istnieje.</w:t>
            </w:r>
          </w:p>
        </w:tc>
      </w:tr>
      <w:tr w:rsidR="00A93D6B" w:rsidRPr="00216D20" w14:paraId="3FD75CA7" w14:textId="77777777" w:rsidTr="00413F25">
        <w:trPr>
          <w:trHeight w:val="1135"/>
        </w:trPr>
        <w:tc>
          <w:tcPr>
            <w:tcW w:w="10378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  <w:vAlign w:val="top"/>
          </w:tcPr>
          <w:p w14:paraId="542C3AC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48CEC869" w14:textId="77777777" w:rsidTr="00413F25">
        <w:trPr>
          <w:trHeight w:val="1135"/>
        </w:trPr>
        <w:tc>
          <w:tcPr>
            <w:tcW w:w="10378" w:type="dxa"/>
            <w:gridSpan w:val="5"/>
            <w:tcBorders>
              <w:top w:val="nil"/>
              <w:bottom w:val="single" w:sz="4" w:space="0" w:color="000000"/>
            </w:tcBorders>
            <w:shd w:val="clear" w:color="auto" w:fill="auto"/>
            <w:vAlign w:val="top"/>
          </w:tcPr>
          <w:p w14:paraId="440A384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III. Informacja: </w:t>
            </w:r>
          </w:p>
          <w:p w14:paraId="571DCBD1" w14:textId="38E8071B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Środki pieniężne zgromadzone w</w:t>
            </w:r>
            <w:r>
              <w:rPr>
                <w:rFonts w:ascii="Times New Roman" w:hAnsi="Times New Roman" w:cs="Times New Roman"/>
              </w:rPr>
              <w:t xml:space="preserve"> Mazowieckim Banku Spółdzielczym w Łomiankach</w:t>
            </w:r>
            <w:r w:rsidRPr="00216D20">
              <w:rPr>
                <w:rFonts w:ascii="Times New Roman" w:hAnsi="Times New Roman" w:cs="Times New Roman"/>
              </w:rPr>
              <w:t>, prowadzącym otwarty mieszkaniowy rachunek powierniczy albo zamknięty mieszkaniowy rachunek powierniczy, są objęte ochroną obowiązkowego systemu gwarantowania depozytów, na zasadach określonych w ustawie z dnia 10 czerwca 2016 r. o Bankowym Funduszu Gwarancyjnym, systemie gwarantowania depozytów oraz przymusowej restrukturyzacji (Dz. U. z 2020 r. poz. 842 oraz z 2021 r. poz. 680 i 1177).</w:t>
            </w:r>
          </w:p>
          <w:p w14:paraId="2D20EA77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Informacje podstawowe o obowiązkowym systemie gwarantowania depozytów: </w:t>
            </w:r>
          </w:p>
          <w:p w14:paraId="62CFB364" w14:textId="059EB8D5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– ochrona środków dotyczy sytuacji spełnienia warunku gwarancji wobec</w:t>
            </w:r>
            <w:r>
              <w:rPr>
                <w:rFonts w:ascii="Times New Roman" w:hAnsi="Times New Roman" w:cs="Times New Roman"/>
              </w:rPr>
              <w:t xml:space="preserve"> Mazowieckiego Banku Spółdzielczego w Łomiankach</w:t>
            </w:r>
            <w:r w:rsidRPr="00216D20">
              <w:rPr>
                <w:rFonts w:ascii="Times New Roman" w:hAnsi="Times New Roman" w:cs="Times New Roman"/>
              </w:rPr>
              <w:t xml:space="preserve">, </w:t>
            </w:r>
          </w:p>
          <w:p w14:paraId="5521ED3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w przypadku rachunku powierniczego deponentem (uprawnionym do środków gwarantowanych) jest każdy z powierzających, w granicach wynikających z jego udziału w kwocie zgromadzonej na tym rachunku, a w granicach pozostałej kwoty na rachunku prawo do środków gwarantowanych ma powiernik, </w:t>
            </w:r>
          </w:p>
          <w:p w14:paraId="1195B09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limit gwarancyjny przypadający na jednego deponenta to równowartość w złotych 100 000 euro; w przypadkach określonych w art. 24 ust. 3 i 4 ustawy z dnia 10 czerwca 2016 r. o Bankowym Funduszu Gwarancyjnym, systemie gwarantowania depozytów oraz przymusowej restrukturyzacji, środki deponenta, w terminie 3 miesięcy od dnia ich wpływu na rachunek, objęte są gwarancjami ponad równowartość w złotych 100 000 euro, </w:t>
            </w:r>
          </w:p>
          <w:p w14:paraId="36A5773D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podstawą wyliczenia kwoty środków gwarantowanych należnej deponentowi jest suma wszystkich podlegających ochronie należności tego deponenta od banku, w tym należności z tytułu środków zgromadzonych na jego rachunkach osobistych i z tytułu jego udziału w środkach zgromadzonych na rachunku powierniczym, </w:t>
            </w:r>
          </w:p>
          <w:p w14:paraId="04DC30D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wypłata środków gwarantowanych – co do zasady – następuje w terminie 7 dni roboczych od dnia spełnienia warunku gwarancji wobec banku, </w:t>
            </w:r>
          </w:p>
          <w:p w14:paraId="0E4A34C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wypłata środków gwarantowanych jest dokonywana w złotych, </w:t>
            </w:r>
          </w:p>
          <w:p w14:paraId="4FD737CA" w14:textId="55921A46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Mazowiecki Bank Spółdzielczy w Łomiankach</w:t>
            </w:r>
            <w:r w:rsidRPr="00216D20">
              <w:rPr>
                <w:rFonts w:ascii="Times New Roman" w:hAnsi="Times New Roman" w:cs="Times New Roman"/>
              </w:rPr>
              <w:t xml:space="preserve"> korzysta także z następujących znaków towarowych: </w:t>
            </w:r>
          </w:p>
          <w:p w14:paraId="0E843280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Dalsze informacje na temat systemu gwarantowania depozytów można uzyskać na stronie internetowej Bankowego Funduszu Gwarancyjnego: </w:t>
            </w:r>
            <w:hyperlink r:id="rId11" w:history="1">
              <w:r w:rsidRPr="00216D20">
                <w:rPr>
                  <w:rStyle w:val="Hipercze"/>
                  <w:rFonts w:ascii="Times New Roman" w:hAnsi="Times New Roman" w:cs="Times New Roman"/>
                </w:rPr>
                <w:t>https://www.bfg.pl/</w:t>
              </w:r>
            </w:hyperlink>
            <w:r w:rsidRPr="00216D20">
              <w:rPr>
                <w:rFonts w:ascii="Times New Roman" w:hAnsi="Times New Roman" w:cs="Times New Roman"/>
              </w:rPr>
              <w:t xml:space="preserve">. </w:t>
            </w:r>
          </w:p>
          <w:p w14:paraId="0092247B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</w:p>
          <w:p w14:paraId="018E3D35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IV. Informacja zamieszczana w przypadku zawarcia umowy mieszkaniowego rachunku powierniczego z oddziałem instytucji kredytowej w rozumieniu art. 4 ust. 1 pkt 18 ustawy z dnia 29 sierpnia 1997 r. – Prawo bankowe (Dz. U. z 2020 r. poz. 1896, 2320 i 2419 oraz z 2021 r. poz. 432, 680, 815 i 1177). Oddział instytucji kredytowej w rozumieniu art. 4 ust. 1 pkt 18 ustawy z dnia 29 sierpnia 1997 r. – Prawo bankowe jest objęty systemem gwarantowania państwa macierzystego, co oznacza, że nie mają do niego zastosowania przepisy ustawy z dnia 10 czerwca 2016 r. o Bankowym Funduszu Gwarancyjnym, systemie gwarantowania depozytów oraz przymusowej restrukturyzacji.</w:t>
            </w:r>
          </w:p>
        </w:tc>
      </w:tr>
      <w:tr w:rsidR="00A93D6B" w:rsidRPr="00216D20" w14:paraId="3FCDEAA5" w14:textId="77777777" w:rsidTr="00413F25">
        <w:trPr>
          <w:trHeight w:val="612"/>
        </w:trPr>
        <w:tc>
          <w:tcPr>
            <w:tcW w:w="103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top"/>
          </w:tcPr>
          <w:p w14:paraId="3FEB4549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b/>
                <w:color w:val="000000"/>
              </w:rPr>
              <w:t>CZĘŚĆ INDYWIDUALNA</w:t>
            </w:r>
          </w:p>
        </w:tc>
      </w:tr>
      <w:tr w:rsidR="00A93D6B" w:rsidRPr="00216D20" w14:paraId="26364DC3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59AF8FB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t>Cena lokalu mieszkalnego albo domu jednorodzinnego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570BCEBF" w14:textId="354AA70D" w:rsidR="00A93D6B" w:rsidRPr="00960CB1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spacing w:line="276" w:lineRule="auto"/>
              <w:ind w:firstLine="720"/>
              <w:jc w:val="left"/>
              <w:rPr>
                <w:rFonts w:ascii="Times New Roman" w:eastAsia="Lato" w:hAnsi="Times New Roman" w:cs="Times New Roman"/>
                <w:lang w:val="en-US"/>
              </w:rPr>
            </w:pPr>
            <w:r w:rsidRPr="00960CB1">
              <w:rPr>
                <w:rFonts w:ascii="Times New Roman" w:eastAsia="Lato" w:hAnsi="Times New Roman" w:cs="Times New Roman"/>
                <w:lang w:val="en-US"/>
              </w:rPr>
              <w:t>BRUTTO</w:t>
            </w:r>
            <w:r w:rsidRPr="00960CB1">
              <w:rPr>
                <w:rFonts w:ascii="Times New Roman" w:eastAsia="Lato" w:hAnsi="Times New Roman" w:cs="Times New Roman"/>
                <w:lang w:val="en-US"/>
              </w:rPr>
              <w:tab/>
              <w:t>NETTO</w:t>
            </w:r>
          </w:p>
          <w:p w14:paraId="656B15D1" w14:textId="77777777" w:rsidR="00A93D6B" w:rsidRPr="006C62D4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  <w:p w14:paraId="1E201386" w14:textId="0483E00D" w:rsidR="00A93D6B" w:rsidRPr="006C62D4" w:rsidRDefault="006B7630" w:rsidP="006B7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09"/>
              </w:tabs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 xml:space="preserve">            </w:t>
            </w:r>
          </w:p>
          <w:p w14:paraId="3F2915CE" w14:textId="12AA6811" w:rsidR="00A93D6B" w:rsidRPr="006C62D4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2822"/>
              </w:tabs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047D53BE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0C520816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Powierzchnia użytkowa lokalu mieszkalnego albo domu jednorodzinnego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420CEA17" w14:textId="22A27376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FF0000"/>
              </w:rPr>
            </w:pPr>
          </w:p>
        </w:tc>
      </w:tr>
      <w:tr w:rsidR="00A93D6B" w:rsidRPr="00DF7400" w14:paraId="10FC0196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57025C44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 xml:space="preserve">Cena m2 powierzchni </w:t>
            </w:r>
            <w:r w:rsidRPr="00216D20">
              <w:rPr>
                <w:rFonts w:ascii="Times New Roman" w:hAnsi="Times New Roman" w:cs="Times New Roman"/>
              </w:rPr>
              <w:lastRenderedPageBreak/>
              <w:t>użytkowej lokalu mieszkalnego albo domu jednorodzinnego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611B10A4" w14:textId="3637B869" w:rsidR="00A93D6B" w:rsidRDefault="00A93D6B" w:rsidP="00303F5C">
            <w:pPr>
              <w:shd w:val="clear" w:color="auto" w:fill="FFFFFF"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val="en-US"/>
              </w:rPr>
            </w:pPr>
            <w:r w:rsidRPr="008F7729">
              <w:rPr>
                <w:rFonts w:cstheme="minorHAnsi"/>
                <w:sz w:val="20"/>
                <w:szCs w:val="20"/>
              </w:rPr>
              <w:lastRenderedPageBreak/>
              <w:t xml:space="preserve">         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en-US"/>
              </w:rPr>
              <w:t>BRUTTO</w:t>
            </w:r>
            <w:r>
              <w:rPr>
                <w:rFonts w:cstheme="minorHAnsi"/>
                <w:sz w:val="20"/>
                <w:szCs w:val="20"/>
                <w:lang w:val="en-US"/>
              </w:rPr>
              <w:tab/>
              <w:t xml:space="preserve">                    </w:t>
            </w:r>
            <w:r w:rsidRPr="00CD3DD3">
              <w:rPr>
                <w:rFonts w:cstheme="minorHAnsi"/>
                <w:sz w:val="20"/>
                <w:szCs w:val="20"/>
                <w:lang w:val="en-US"/>
              </w:rPr>
              <w:t>NETT</w:t>
            </w:r>
            <w:r w:rsidR="00303F5C">
              <w:rPr>
                <w:rFonts w:cstheme="minorHAnsi"/>
                <w:sz w:val="20"/>
                <w:szCs w:val="20"/>
                <w:lang w:val="en-US"/>
              </w:rPr>
              <w:t>O</w:t>
            </w:r>
          </w:p>
          <w:p w14:paraId="5AC978F8" w14:textId="77777777" w:rsidR="00A93D6B" w:rsidRDefault="00A93D6B" w:rsidP="004946BA">
            <w:pPr>
              <w:shd w:val="clear" w:color="auto" w:fill="FFFFFF"/>
              <w:tabs>
                <w:tab w:val="left" w:pos="800"/>
              </w:tabs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  <w:p w14:paraId="109A780B" w14:textId="77777777" w:rsidR="00A93D6B" w:rsidRPr="00960CB1" w:rsidRDefault="00A93D6B" w:rsidP="00303F5C">
            <w:pPr>
              <w:shd w:val="clear" w:color="auto" w:fill="FFFFFF"/>
              <w:tabs>
                <w:tab w:val="left" w:pos="829"/>
                <w:tab w:val="center" w:pos="3518"/>
              </w:tabs>
              <w:snapToGrid w:val="0"/>
              <w:spacing w:before="30" w:line="270" w:lineRule="exact"/>
              <w:rPr>
                <w:rFonts w:ascii="Times New Roman" w:eastAsia="Lato" w:hAnsi="Times New Roman" w:cs="Times New Roman"/>
                <w:color w:val="FF0000"/>
                <w:lang w:val="en-US"/>
              </w:rPr>
            </w:pPr>
          </w:p>
        </w:tc>
      </w:tr>
      <w:tr w:rsidR="00A93D6B" w:rsidRPr="00216D20" w14:paraId="7791D68E" w14:textId="77777777" w:rsidTr="00413F25">
        <w:trPr>
          <w:trHeight w:val="612"/>
        </w:trPr>
        <w:tc>
          <w:tcPr>
            <w:tcW w:w="1925" w:type="dxa"/>
            <w:tcBorders>
              <w:top w:val="single" w:sz="4" w:space="0" w:color="000000"/>
            </w:tcBorders>
            <w:shd w:val="clear" w:color="auto" w:fill="D9D9D9"/>
            <w:vAlign w:val="top"/>
          </w:tcPr>
          <w:p w14:paraId="2ED584D3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>Termin, do którego nastąpi przeniesienie prawa własności nieruchomości wynikającego z umowy deweloperskiej lub jednej z umów, o których mowa w art. 2 ust. 1 pkt 2, 3 lub 5 lub ust. 2 ustawy z dnia 20 maja 2021 r. o ochronie praw nabywcy lokalu mieszkalnego lub domu jednorodzinnego oraz Deweloperskim Funduszu Gwarancyjnym</w:t>
            </w:r>
          </w:p>
        </w:tc>
        <w:tc>
          <w:tcPr>
            <w:tcW w:w="8453" w:type="dxa"/>
            <w:gridSpan w:val="4"/>
            <w:tcBorders>
              <w:top w:val="single" w:sz="4" w:space="0" w:color="000000"/>
            </w:tcBorders>
            <w:vAlign w:val="top"/>
          </w:tcPr>
          <w:p w14:paraId="5055685F" w14:textId="40735296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FF0000"/>
              </w:rPr>
            </w:pPr>
            <w:r w:rsidRPr="00022DEE">
              <w:rPr>
                <w:rFonts w:ascii="Times New Roman" w:eastAsia="Lato" w:hAnsi="Times New Roman" w:cs="Times New Roman"/>
              </w:rPr>
              <w:t>3</w:t>
            </w:r>
            <w:r w:rsidR="00385547">
              <w:rPr>
                <w:rFonts w:ascii="Times New Roman" w:eastAsia="Lato" w:hAnsi="Times New Roman" w:cs="Times New Roman"/>
              </w:rPr>
              <w:t>1</w:t>
            </w:r>
            <w:r w:rsidRPr="00022DEE">
              <w:rPr>
                <w:rFonts w:ascii="Times New Roman" w:eastAsia="Lato" w:hAnsi="Times New Roman" w:cs="Times New Roman"/>
              </w:rPr>
              <w:t>.</w:t>
            </w:r>
            <w:r w:rsidR="00385547">
              <w:rPr>
                <w:rFonts w:ascii="Times New Roman" w:eastAsia="Lato" w:hAnsi="Times New Roman" w:cs="Times New Roman"/>
              </w:rPr>
              <w:t>12</w:t>
            </w:r>
            <w:r w:rsidRPr="00022DEE">
              <w:rPr>
                <w:rFonts w:ascii="Times New Roman" w:eastAsia="Lato" w:hAnsi="Times New Roman" w:cs="Times New Roman"/>
              </w:rPr>
              <w:t>.202</w:t>
            </w:r>
            <w:r w:rsidR="00095999">
              <w:rPr>
                <w:rFonts w:ascii="Times New Roman" w:eastAsia="Lato" w:hAnsi="Times New Roman" w:cs="Times New Roman"/>
              </w:rPr>
              <w:t>6</w:t>
            </w:r>
          </w:p>
        </w:tc>
      </w:tr>
      <w:tr w:rsidR="00A93D6B" w:rsidRPr="00216D20" w14:paraId="02566196" w14:textId="77777777" w:rsidTr="00413F25">
        <w:trPr>
          <w:trHeight w:val="488"/>
        </w:trPr>
        <w:tc>
          <w:tcPr>
            <w:tcW w:w="1925" w:type="dxa"/>
            <w:vMerge w:val="restart"/>
            <w:shd w:val="clear" w:color="auto" w:fill="D9D9D9"/>
            <w:vAlign w:val="top"/>
          </w:tcPr>
          <w:p w14:paraId="30E101D1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6" w:name="_heading=h.1ksv4uv" w:colFirst="0" w:colLast="0"/>
            <w:bookmarkEnd w:id="6"/>
            <w:r w:rsidRPr="00216D20">
              <w:rPr>
                <w:rFonts w:ascii="Times New Roman" w:eastAsia="Lato" w:hAnsi="Times New Roman" w:cs="Times New Roman"/>
                <w:color w:val="000000"/>
              </w:rPr>
              <w:t xml:space="preserve">Określenie położenia oraz istotnych cech domu jednorodzinnego albo budynku, w którym ma znajdować się lokal mieszkalny będący przedmiotem umowy rezerwacyjnej albo umowy deweloperskiej lub jednej z umów, o których mowa w art. 2 ust. 1 pkt 2, 3 lub 5 lub ust. 2 ustawy z dnia 20 maja 2021 r. o ochronie praw </w:t>
            </w: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nabywcy lokalu mieszkalnego lub domu jednorodzinnego oraz Deweloperskim Funduszu Gwarancyjnym</w:t>
            </w:r>
          </w:p>
        </w:tc>
        <w:tc>
          <w:tcPr>
            <w:tcW w:w="2215" w:type="dxa"/>
            <w:vAlign w:val="top"/>
          </w:tcPr>
          <w:p w14:paraId="430F8F0F" w14:textId="77777777" w:rsidR="00A93D6B" w:rsidRPr="00216D20" w:rsidRDefault="00A93D6B" w:rsidP="00D37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lastRenderedPageBreak/>
              <w:t>liczba kondygnacji</w:t>
            </w:r>
          </w:p>
        </w:tc>
        <w:tc>
          <w:tcPr>
            <w:tcW w:w="6238" w:type="dxa"/>
            <w:gridSpan w:val="3"/>
            <w:vAlign w:val="top"/>
          </w:tcPr>
          <w:p w14:paraId="46F00E03" w14:textId="79763571" w:rsidR="00A93D6B" w:rsidRPr="00216D20" w:rsidRDefault="00A93D6B" w:rsidP="00D37346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3</w:t>
            </w:r>
          </w:p>
        </w:tc>
      </w:tr>
      <w:tr w:rsidR="00A93D6B" w:rsidRPr="00216D20" w14:paraId="7B8C28A7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46EA5876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27507DB7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7" w:name="_heading=h.44sinio" w:colFirst="0" w:colLast="0"/>
            <w:bookmarkEnd w:id="7"/>
            <w:r w:rsidRPr="00216D20">
              <w:rPr>
                <w:rFonts w:ascii="Times New Roman" w:eastAsia="Lato" w:hAnsi="Times New Roman" w:cs="Times New Roman"/>
                <w:color w:val="000000"/>
              </w:rPr>
              <w:t>technologia wykonania</w:t>
            </w:r>
          </w:p>
        </w:tc>
        <w:tc>
          <w:tcPr>
            <w:tcW w:w="6238" w:type="dxa"/>
            <w:gridSpan w:val="3"/>
            <w:vAlign w:val="top"/>
          </w:tcPr>
          <w:p w14:paraId="617FC047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Ściany  nośne</w:t>
            </w:r>
          </w:p>
          <w:p w14:paraId="7D00571B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>Zewnętrzne oraz wewnętrzne ściany nośne zostały zaprojektowane jako murowane z pustaków ceramicznych</w:t>
            </w:r>
          </w:p>
          <w:p w14:paraId="111A958E" w14:textId="77777777" w:rsidR="00095999" w:rsidRDefault="00095999" w:rsidP="00095999">
            <w:pPr>
              <w:jc w:val="left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 xml:space="preserve">(np. </w:t>
            </w:r>
            <w:proofErr w:type="spellStart"/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>Porotherm</w:t>
            </w:r>
            <w:proofErr w:type="spellEnd"/>
            <w:r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  <w:t>), o gr. 19 cm pomiędzy lokalami mieszkalnymi w jednym domu oraz o gr. 19cm jako pozostałe. Ściany zewnętrzne ocieplone styropianem pokryte tynkiem cienkowarstwowym oraz miejscowo obłożone okładziną elewacyjną (imitującą cegłę lub panelami kompozytowymi w kolorze ciemnoszarym). Ściany na wysokości cokołu obłożone okładziną elewacyjną o zwiększonej odporności na wilgoć.</w:t>
            </w:r>
          </w:p>
          <w:p w14:paraId="43E82E0B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</w:pPr>
          </w:p>
          <w:p w14:paraId="3D3B4472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Ściany  działowe</w:t>
            </w:r>
          </w:p>
          <w:p w14:paraId="25BDAB33" w14:textId="6D852FBA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Wewnętrzne ściany zostały zaprojektowane jako murowane (np.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Multigips</w:t>
            </w:r>
            <w:proofErr w:type="spellEnd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Gazobeton</w:t>
            </w:r>
            <w:proofErr w:type="spellEnd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6B763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Ceramika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 gr. 10cm</w:t>
            </w:r>
          </w:p>
          <w:p w14:paraId="785D7893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  <w:lang w:val="en-GB"/>
              </w:rPr>
            </w:pPr>
          </w:p>
          <w:p w14:paraId="34E79052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 xml:space="preserve">Stropy </w:t>
            </w:r>
            <w:proofErr w:type="spellStart"/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międzykondygnacyjne</w:t>
            </w:r>
            <w:proofErr w:type="spellEnd"/>
          </w:p>
          <w:p w14:paraId="32986970" w14:textId="77777777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Stropy </w:t>
            </w:r>
            <w:proofErr w:type="spellStart"/>
            <w:r>
              <w:rPr>
                <w:rFonts w:cstheme="minorHAnsi"/>
                <w:sz w:val="20"/>
                <w:szCs w:val="20"/>
              </w:rPr>
              <w:t>międzykondygnacyjne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budynków w postaci stropów żelbetowych gr. 18cm, wylewanych wg projektu konstrukcji.</w:t>
            </w:r>
          </w:p>
          <w:p w14:paraId="1C11CAC0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FF3333"/>
                <w:sz w:val="20"/>
                <w:szCs w:val="20"/>
              </w:rPr>
            </w:pPr>
          </w:p>
          <w:p w14:paraId="719BF227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sz w:val="20"/>
                <w:szCs w:val="20"/>
              </w:rPr>
              <w:t xml:space="preserve">Nadproża okienne i drzwiowe </w:t>
            </w:r>
          </w:p>
          <w:p w14:paraId="06A5AA2C" w14:textId="77777777" w:rsidR="00095999" w:rsidRDefault="00095999" w:rsidP="00095999">
            <w:pPr>
              <w:jc w:val="left"/>
              <w:rPr>
                <w:rFonts w:asciiTheme="minorHAnsi" w:eastAsia="Calibri" w:hAnsiTheme="minorHAnsi" w:cstheme="minorHAnsi"/>
                <w:color w:val="FF3333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sz w:val="20"/>
                <w:szCs w:val="20"/>
              </w:rPr>
              <w:t xml:space="preserve">Systemowe- </w:t>
            </w:r>
            <w:proofErr w:type="spellStart"/>
            <w:r>
              <w:rPr>
                <w:rFonts w:asciiTheme="minorHAnsi" w:eastAsia="HG Mincho Light J" w:hAnsiTheme="minorHAnsi" w:cstheme="minorHAnsi"/>
                <w:sz w:val="20"/>
                <w:szCs w:val="20"/>
              </w:rPr>
              <w:t>Porotherm</w:t>
            </w:r>
            <w:proofErr w:type="spellEnd"/>
            <w:r>
              <w:rPr>
                <w:rFonts w:asciiTheme="minorHAnsi" w:eastAsia="HG Mincho Light J" w:hAnsiTheme="minorHAnsi" w:cstheme="minorHAnsi"/>
                <w:sz w:val="20"/>
                <w:szCs w:val="20"/>
              </w:rPr>
              <w:t xml:space="preserve"> lub żelbetowe wg projektu konstrukcji.</w:t>
            </w:r>
          </w:p>
          <w:p w14:paraId="1C7E11F5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</w:pPr>
          </w:p>
          <w:p w14:paraId="2B83B1C8" w14:textId="77777777" w:rsidR="00095999" w:rsidRDefault="00095999" w:rsidP="00095999">
            <w:pPr>
              <w:jc w:val="left"/>
              <w:rPr>
                <w:rFonts w:asciiTheme="minorHAnsi" w:eastAsia="HG Mincho Light J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t>Dach</w:t>
            </w:r>
          </w:p>
          <w:p w14:paraId="76480DF6" w14:textId="6B2635E6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Dachy szeregu </w:t>
            </w:r>
            <w:r w:rsidR="006B7630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 xml:space="preserve"> to dachy płaskie zgodnie z przewidzianą technologią wykonania.  </w:t>
            </w:r>
          </w:p>
          <w:p w14:paraId="454C7B12" w14:textId="77777777" w:rsidR="00095999" w:rsidRDefault="00095999" w:rsidP="00095999">
            <w:pPr>
              <w:pStyle w:val="Tekstpodstawowywcity31"/>
              <w:spacing w:after="0" w:line="276" w:lineRule="auto"/>
              <w:ind w:left="0"/>
              <w:jc w:val="left"/>
              <w:rPr>
                <w:rFonts w:asciiTheme="minorHAnsi" w:eastAsia="HG Mincho Light J" w:hAnsiTheme="minorHAnsi" w:cstheme="minorHAnsi"/>
                <w:color w:val="FF3333"/>
                <w:sz w:val="20"/>
                <w:szCs w:val="20"/>
              </w:rPr>
            </w:pPr>
          </w:p>
          <w:p w14:paraId="221A402D" w14:textId="77777777" w:rsidR="00095999" w:rsidRDefault="00095999" w:rsidP="00095999">
            <w:pPr>
              <w:pStyle w:val="Tekstpodstawowywcity31"/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HG Mincho Light J" w:hAnsiTheme="minorHAnsi" w:cstheme="minorHAnsi"/>
                <w:b/>
                <w:color w:val="000000"/>
                <w:sz w:val="20"/>
                <w:szCs w:val="20"/>
              </w:rPr>
              <w:lastRenderedPageBreak/>
              <w:t>Obudowa przewodów wentylacyjnych i szachtów instalacyjnych</w:t>
            </w:r>
          </w:p>
          <w:p w14:paraId="641CC1A2" w14:textId="77777777" w:rsidR="00095999" w:rsidRDefault="00095999" w:rsidP="00095999">
            <w:pPr>
              <w:pStyle w:val="Tekstpodstawowywcity31"/>
              <w:spacing w:after="0"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Obudowy przewodów wentylacyjnych, dymowych, spalinowych, zaprojektowano z pustaków ceramicznych (np.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Porotherm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E3D4209" w14:textId="77777777" w:rsidR="00095999" w:rsidRDefault="00095999" w:rsidP="00095999">
            <w:pPr>
              <w:pStyle w:val="WW-Tekstpodstawowywcity2"/>
              <w:spacing w:line="276" w:lineRule="auto"/>
              <w:ind w:left="705" w:hanging="705"/>
              <w:jc w:val="left"/>
              <w:rPr>
                <w:rFonts w:asciiTheme="minorHAnsi" w:hAnsiTheme="minorHAnsi" w:cstheme="minorHAnsi"/>
                <w:color w:val="FF3333"/>
                <w:sz w:val="20"/>
              </w:rPr>
            </w:pPr>
          </w:p>
          <w:p w14:paraId="4F1B3979" w14:textId="77777777" w:rsidR="00095999" w:rsidRDefault="00095999" w:rsidP="00095999">
            <w:pPr>
              <w:pStyle w:val="WW-Tekstpodstawowywcity2"/>
              <w:spacing w:line="276" w:lineRule="auto"/>
              <w:ind w:left="705" w:hanging="705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Kominy</w:t>
            </w:r>
          </w:p>
          <w:p w14:paraId="55F38D9A" w14:textId="49BEE3D1" w:rsidR="00A93D6B" w:rsidRPr="00216D20" w:rsidRDefault="00095999" w:rsidP="00095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cstheme="minorHAnsi"/>
                <w:sz w:val="20"/>
                <w:szCs w:val="20"/>
              </w:rPr>
              <w:t>Przewody spalinowe, wentylacyjne zaprojektowano z kształtek systemowych. Wyloty zaprojektowano do góry lub na boki, zakończenie wylotów zaprojektowano za pomocą obróbki blacharskiej. Komin powyżej dachu ocieplono styropianem gr. 10cm i wykończono tynkiem akrylowym lub blachą.</w:t>
            </w:r>
          </w:p>
        </w:tc>
      </w:tr>
      <w:tr w:rsidR="00A93D6B" w:rsidRPr="00216D20" w14:paraId="0AF64A11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4B009B75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7158BD07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8" w:name="_heading=h.2jxsxqh" w:colFirst="0" w:colLast="0"/>
            <w:bookmarkEnd w:id="8"/>
            <w:r w:rsidRPr="00216D20">
              <w:rPr>
                <w:rFonts w:ascii="Times New Roman" w:eastAsia="Lato" w:hAnsi="Times New Roman" w:cs="Times New Roman"/>
                <w:color w:val="000000"/>
              </w:rPr>
              <w:t>Standard prac wykończeniowych w części wspólnej budynku i terenie wokół niego, stanowiącym część wspólną nieruchomości</w:t>
            </w:r>
          </w:p>
        </w:tc>
        <w:tc>
          <w:tcPr>
            <w:tcW w:w="6238" w:type="dxa"/>
            <w:gridSpan w:val="3"/>
            <w:vAlign w:val="top"/>
          </w:tcPr>
          <w:p w14:paraId="08F8871A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Wykończenie zewnętrzne</w:t>
            </w:r>
          </w:p>
          <w:p w14:paraId="4163AF16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</w:rPr>
            </w:pPr>
          </w:p>
          <w:p w14:paraId="2840B323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Parapety</w:t>
            </w:r>
          </w:p>
          <w:p w14:paraId="55251EE1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FF3333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Zewnętrzne parapety np. z blachy powlekanej w kolorze ciemnoszarym. Parapety wewnętrzne – z konglomeratu </w:t>
            </w:r>
          </w:p>
          <w:p w14:paraId="0C1E7D6D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FF3333"/>
                <w:sz w:val="20"/>
              </w:rPr>
            </w:pPr>
          </w:p>
          <w:p w14:paraId="08BE705B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Stolarka okienna</w:t>
            </w:r>
          </w:p>
          <w:p w14:paraId="0CE8F78D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Okna PCV, rozwieralno-uchylne  w okleinie ciemnoszarej od zewnątrz i w kolorze białym od wewnątrz.</w:t>
            </w:r>
          </w:p>
          <w:p w14:paraId="606DA14E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</w:p>
          <w:p w14:paraId="68D2194E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Stolarka drzwiowa</w:t>
            </w:r>
          </w:p>
          <w:p w14:paraId="5F21BBB9" w14:textId="77777777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Drzwi wejściowe do lokali mieszkalnych, szerokość skrzydła 100cm, wys. 210cm.</w:t>
            </w:r>
          </w:p>
          <w:p w14:paraId="2C2B81BF" w14:textId="77777777" w:rsidR="00095999" w:rsidRDefault="00095999" w:rsidP="00095999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</w:p>
          <w:p w14:paraId="1C1D588D" w14:textId="77777777" w:rsidR="00095999" w:rsidRDefault="00095999" w:rsidP="00095999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Obróbki blacharskie</w:t>
            </w:r>
          </w:p>
          <w:p w14:paraId="2CDADCBC" w14:textId="77777777" w:rsidR="00095999" w:rsidRDefault="00095999" w:rsidP="00095999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Obróbki z blachy ocynkowanej lub aluminiowej, w kolorze zgodnym z pozostałą specyfikacją.</w:t>
            </w:r>
          </w:p>
          <w:p w14:paraId="6352E506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Rynny i rury spustowe.</w:t>
            </w:r>
          </w:p>
          <w:p w14:paraId="7E28F104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Rury PCV w kolorze dostosowanym do koloru pokrycia dachu</w:t>
            </w:r>
          </w:p>
          <w:p w14:paraId="03B31E7E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09A57AF4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Izolacje przeciwwilgociowe i przeciwwodne</w:t>
            </w:r>
          </w:p>
          <w:p w14:paraId="2C6A9871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Wykonana zostanie pozioma i pionowa izolacja przeciwwilgociowa i przeciwwodna na płycie na gruncie oraz na ścianach fundamentowych.</w:t>
            </w:r>
          </w:p>
          <w:p w14:paraId="1066EA90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741630A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Zagospodarowanie terenu</w:t>
            </w:r>
          </w:p>
          <w:p w14:paraId="0281507A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Dla zabudowy zaplanowano wolnostojące kontenery. Miejsce gromadzenia odpadów przewidziano w wymaganych przepisami odległości od granicy działki – min. 2m dla zabudowy jednorodzinnej - wg projektu zagospodarowania terenu.</w:t>
            </w:r>
          </w:p>
          <w:p w14:paraId="35F903A1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2D0D10E2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Na działce zaprojektowano ciąg pieszo-jezdny, z którego będą dostępne miejsca parkingowe przed poszczególnymi budynkami.</w:t>
            </w:r>
          </w:p>
          <w:p w14:paraId="694D6CF7" w14:textId="77777777" w:rsidR="00095999" w:rsidRDefault="00095999" w:rsidP="00095999">
            <w:pPr>
              <w:pStyle w:val="WW-Tekstpodstawowywcity2"/>
              <w:spacing w:line="276" w:lineRule="auto"/>
              <w:ind w:left="0"/>
              <w:jc w:val="left"/>
              <w:rPr>
                <w:rFonts w:asciiTheme="minorHAnsi" w:hAnsiTheme="minorHAnsi" w:cstheme="minorHAnsi"/>
                <w:sz w:val="20"/>
              </w:rPr>
            </w:pPr>
          </w:p>
          <w:p w14:paraId="5A5A28C7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Ogrodzenie zewnętrzne całej inwestycji zgodnie z projektem zagospodarowania terenu. </w:t>
            </w:r>
          </w:p>
          <w:p w14:paraId="4FDB4D75" w14:textId="77777777" w:rsidR="00095999" w:rsidRDefault="00095999" w:rsidP="00095999">
            <w:pPr>
              <w:pStyle w:val="WW-Tekstpodstawowywcit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Dojazd będzie wykonany z kostki betonowej na podbudowie.</w:t>
            </w:r>
          </w:p>
          <w:p w14:paraId="7458BA77" w14:textId="3A6CDF1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217EF0E1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258411C5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56AA70C1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liczba lokali w budynku</w:t>
            </w:r>
          </w:p>
        </w:tc>
        <w:tc>
          <w:tcPr>
            <w:tcW w:w="6238" w:type="dxa"/>
            <w:gridSpan w:val="3"/>
            <w:vAlign w:val="top"/>
          </w:tcPr>
          <w:p w14:paraId="63B4932C" w14:textId="46ED387F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2</w:t>
            </w:r>
          </w:p>
        </w:tc>
      </w:tr>
      <w:tr w:rsidR="00A93D6B" w:rsidRPr="00216D20" w14:paraId="1DAE457C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1DEB9ED0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  <w:tc>
          <w:tcPr>
            <w:tcW w:w="2215" w:type="dxa"/>
            <w:vAlign w:val="top"/>
          </w:tcPr>
          <w:p w14:paraId="73385871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liczba miejsc garażowych i postojowych</w:t>
            </w:r>
          </w:p>
        </w:tc>
        <w:tc>
          <w:tcPr>
            <w:tcW w:w="6238" w:type="dxa"/>
            <w:gridSpan w:val="3"/>
            <w:vAlign w:val="top"/>
          </w:tcPr>
          <w:p w14:paraId="53A5E0CF" w14:textId="159D3123" w:rsidR="00A93D6B" w:rsidRPr="00216D20" w:rsidRDefault="00A93D6B" w:rsidP="004946BA">
            <w:pP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</w:rPr>
              <w:t>1</w:t>
            </w:r>
          </w:p>
        </w:tc>
      </w:tr>
      <w:tr w:rsidR="00A93D6B" w:rsidRPr="00216D20" w14:paraId="073B2599" w14:textId="77777777" w:rsidTr="00413F25">
        <w:trPr>
          <w:trHeight w:val="841"/>
        </w:trPr>
        <w:tc>
          <w:tcPr>
            <w:tcW w:w="1925" w:type="dxa"/>
            <w:vMerge/>
            <w:shd w:val="clear" w:color="auto" w:fill="D9D9D9"/>
            <w:vAlign w:val="top"/>
          </w:tcPr>
          <w:p w14:paraId="41AC692F" w14:textId="77777777" w:rsidR="00A93D6B" w:rsidRPr="00216D20" w:rsidRDefault="00A93D6B" w:rsidP="004946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0E4C0053" w14:textId="77777777" w:rsidR="00A93D6B" w:rsidRPr="00216D20" w:rsidRDefault="00A93D6B" w:rsidP="004946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bookmarkStart w:id="9" w:name="_heading=h.z337ya" w:colFirst="0" w:colLast="0"/>
            <w:bookmarkEnd w:id="9"/>
            <w:r w:rsidRPr="00216D20">
              <w:rPr>
                <w:rFonts w:ascii="Times New Roman" w:eastAsia="Lato" w:hAnsi="Times New Roman" w:cs="Times New Roman"/>
                <w:color w:val="000000"/>
              </w:rPr>
              <w:t>dostępne media w budynku</w:t>
            </w:r>
          </w:p>
        </w:tc>
        <w:tc>
          <w:tcPr>
            <w:tcW w:w="6238" w:type="dxa"/>
            <w:gridSpan w:val="3"/>
            <w:vAlign w:val="top"/>
          </w:tcPr>
          <w:p w14:paraId="3918FD32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 xml:space="preserve">gaz </w:t>
            </w:r>
          </w:p>
          <w:p w14:paraId="0EB64248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 xml:space="preserve">woda </w:t>
            </w:r>
          </w:p>
          <w:p w14:paraId="011972D7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  <w:lang w:eastAsia="ar-SA"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>kanalizacja</w:t>
            </w:r>
          </w:p>
          <w:p w14:paraId="14B5383D" w14:textId="5A699C11" w:rsidR="00A93D6B" w:rsidRPr="007B207D" w:rsidRDefault="00505EF6" w:rsidP="00505EF6">
            <w:pPr>
              <w:spacing w:line="276" w:lineRule="auto"/>
              <w:jc w:val="left"/>
              <w:rPr>
                <w:rFonts w:ascii="Times New Roman" w:eastAsia="Lato" w:hAnsi="Times New Roman" w:cs="Times New Roman"/>
                <w:b/>
                <w:bCs/>
              </w:rPr>
            </w:pPr>
            <w:r>
              <w:rPr>
                <w:rFonts w:cstheme="minorHAnsi"/>
                <w:sz w:val="20"/>
                <w:szCs w:val="20"/>
                <w:lang w:eastAsia="ar-SA"/>
              </w:rPr>
              <w:t>energia elektryczna</w:t>
            </w:r>
          </w:p>
        </w:tc>
      </w:tr>
      <w:tr w:rsidR="00A93D6B" w:rsidRPr="00216D20" w14:paraId="6D802354" w14:textId="77777777" w:rsidTr="00413F25">
        <w:trPr>
          <w:trHeight w:val="488"/>
        </w:trPr>
        <w:tc>
          <w:tcPr>
            <w:tcW w:w="1925" w:type="dxa"/>
            <w:vMerge/>
            <w:shd w:val="clear" w:color="auto" w:fill="D9D9D9"/>
            <w:vAlign w:val="top"/>
          </w:tcPr>
          <w:p w14:paraId="031E2338" w14:textId="77777777" w:rsidR="00A93D6B" w:rsidRPr="00216D20" w:rsidRDefault="00A93D6B" w:rsidP="006C62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  <w:tc>
          <w:tcPr>
            <w:tcW w:w="2215" w:type="dxa"/>
            <w:vAlign w:val="top"/>
          </w:tcPr>
          <w:p w14:paraId="3639DD82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dostęp do drogi publicznej</w:t>
            </w:r>
          </w:p>
        </w:tc>
        <w:tc>
          <w:tcPr>
            <w:tcW w:w="6238" w:type="dxa"/>
            <w:gridSpan w:val="3"/>
            <w:vAlign w:val="top"/>
          </w:tcPr>
          <w:p w14:paraId="64F3869D" w14:textId="345AFD2B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CD3DD3">
              <w:rPr>
                <w:rFonts w:cstheme="minorHAnsi"/>
                <w:sz w:val="20"/>
                <w:szCs w:val="20"/>
                <w:lang w:eastAsia="ar-SA"/>
              </w:rPr>
              <w:t xml:space="preserve">Do ul. </w:t>
            </w:r>
            <w:r w:rsidR="00505EF6">
              <w:rPr>
                <w:rFonts w:cstheme="minorHAnsi"/>
                <w:sz w:val="20"/>
                <w:szCs w:val="20"/>
                <w:lang w:eastAsia="ar-SA"/>
              </w:rPr>
              <w:t>Górskiej 21</w:t>
            </w:r>
          </w:p>
        </w:tc>
      </w:tr>
      <w:tr w:rsidR="00A93D6B" w:rsidRPr="00216D20" w14:paraId="7C75A3C7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7D835BD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Określenie usytuowania lokalu mieszkalnego w budynku, jeżeli przedsięwzięcie deweloperskie lub zadanie inwestycyjne dotyczy lokali mieszkalnych</w:t>
            </w:r>
          </w:p>
        </w:tc>
        <w:tc>
          <w:tcPr>
            <w:tcW w:w="8453" w:type="dxa"/>
            <w:gridSpan w:val="4"/>
            <w:vAlign w:val="top"/>
          </w:tcPr>
          <w:p w14:paraId="6C9286F9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Zgodnie z załącznikiem „karta mieszkania”.</w:t>
            </w:r>
          </w:p>
          <w:p w14:paraId="4C50ED33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  <w:p w14:paraId="57A8A959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</w:p>
        </w:tc>
      </w:tr>
      <w:tr w:rsidR="00A93D6B" w:rsidRPr="00216D20" w14:paraId="61A24276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48191170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eastAsia="Lato" w:hAnsi="Times New Roman" w:cs="Times New Roman"/>
                <w:color w:val="000000"/>
              </w:rPr>
              <w:t>Określenie powierzchni użytkowej i układu pomieszczeń oraz zakresu i standardu prac wykończeniowych, do których wykonania zobowiązuje się deweloper</w:t>
            </w:r>
          </w:p>
        </w:tc>
        <w:tc>
          <w:tcPr>
            <w:tcW w:w="8453" w:type="dxa"/>
            <w:gridSpan w:val="4"/>
            <w:tcBorders>
              <w:bottom w:val="single" w:sz="4" w:space="0" w:color="000000"/>
            </w:tcBorders>
            <w:vAlign w:val="top"/>
          </w:tcPr>
          <w:p w14:paraId="43BE7FEE" w14:textId="0690D65A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Powierzchnia: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1E59BF">
              <w:rPr>
                <w:rFonts w:cstheme="minorHAnsi"/>
                <w:sz w:val="20"/>
                <w:szCs w:val="20"/>
              </w:rPr>
              <w:t>60</w:t>
            </w:r>
            <w:r w:rsidR="004F6837">
              <w:rPr>
                <w:rFonts w:cstheme="minorHAnsi"/>
                <w:sz w:val="20"/>
                <w:szCs w:val="20"/>
              </w:rPr>
              <w:t>,</w:t>
            </w:r>
            <w:r w:rsidR="001E59BF">
              <w:rPr>
                <w:rFonts w:cstheme="minorHAnsi"/>
                <w:sz w:val="20"/>
                <w:szCs w:val="20"/>
              </w:rPr>
              <w:t>56</w:t>
            </w:r>
            <w:r>
              <w:rPr>
                <w:rFonts w:cstheme="minorHAnsi"/>
                <w:sz w:val="20"/>
                <w:szCs w:val="20"/>
              </w:rPr>
              <w:t xml:space="preserve"> m2</w:t>
            </w:r>
            <w:r w:rsidR="00F61B02">
              <w:rPr>
                <w:rFonts w:cstheme="minorHAnsi"/>
                <w:sz w:val="20"/>
                <w:szCs w:val="20"/>
              </w:rPr>
              <w:t xml:space="preserve"> lub 70,22</w:t>
            </w:r>
          </w:p>
          <w:p w14:paraId="7E3EAF64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Układ pomieszczeń: </w:t>
            </w:r>
            <w:r>
              <w:rPr>
                <w:rFonts w:cstheme="minorHAnsi"/>
                <w:sz w:val="20"/>
                <w:szCs w:val="20"/>
              </w:rPr>
              <w:t>Zgodnie z kartą lokalu</w:t>
            </w:r>
          </w:p>
          <w:p w14:paraId="45DB78AD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sz w:val="20"/>
                <w:szCs w:val="20"/>
              </w:rPr>
            </w:pPr>
          </w:p>
          <w:p w14:paraId="0FB16DAD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  <w:lang w:eastAsia="ar-SA"/>
              </w:rPr>
              <w:t>Wykończenie Wewnętrzne</w:t>
            </w:r>
          </w:p>
          <w:p w14:paraId="24C93DBF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b/>
                <w:sz w:val="20"/>
                <w:szCs w:val="20"/>
                <w:lang w:eastAsia="ar-SA"/>
              </w:rPr>
            </w:pPr>
            <w:r>
              <w:rPr>
                <w:rFonts w:cstheme="minorHAnsi"/>
                <w:b/>
                <w:sz w:val="20"/>
                <w:szCs w:val="20"/>
                <w:lang w:eastAsia="ar-SA"/>
              </w:rPr>
              <w:t>Ściany</w:t>
            </w:r>
          </w:p>
          <w:p w14:paraId="57528F31" w14:textId="3CC4E83C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eastAsia="HG Mincho Light J" w:cstheme="minorHAnsi"/>
                <w:color w:val="000000"/>
                <w:sz w:val="20"/>
                <w:szCs w:val="20"/>
              </w:rPr>
            </w:pPr>
            <w:r>
              <w:rPr>
                <w:rFonts w:eastAsia="HG Mincho Light J" w:cstheme="minorHAnsi"/>
                <w:color w:val="000000"/>
                <w:sz w:val="20"/>
                <w:szCs w:val="20"/>
              </w:rPr>
              <w:t xml:space="preserve">Wewnętrzne ściany zostały zaprojektowane jako murowane (np. </w:t>
            </w:r>
            <w:proofErr w:type="spellStart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Multigips</w:t>
            </w:r>
            <w:proofErr w:type="spellEnd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Gazobeton</w:t>
            </w:r>
            <w:proofErr w:type="spellEnd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/</w:t>
            </w:r>
            <w:proofErr w:type="spellStart"/>
            <w:r w:rsidR="001E59B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Ceramika</w:t>
            </w:r>
            <w:proofErr w:type="spellEnd"/>
            <w:r>
              <w:rPr>
                <w:rFonts w:eastAsia="HG Mincho Light J" w:cstheme="minorHAnsi"/>
                <w:color w:val="000000"/>
                <w:sz w:val="20"/>
                <w:szCs w:val="20"/>
              </w:rPr>
              <w:t>) gr. 10cm</w:t>
            </w:r>
          </w:p>
          <w:p w14:paraId="154C3D98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Tynki wewnętrzne w pomieszczeniach:</w:t>
            </w:r>
          </w:p>
          <w:p w14:paraId="28E3AE30" w14:textId="5AC85A22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W mieszkaniach tynki gipsowe, w pomieszczeniach mokrych</w:t>
            </w:r>
            <w:r w:rsidR="001E59BF">
              <w:rPr>
                <w:rFonts w:cstheme="minorHAnsi"/>
                <w:color w:val="000000"/>
                <w:sz w:val="20"/>
                <w:szCs w:val="20"/>
              </w:rPr>
              <w:t xml:space="preserve"> gipsowe twarde z dylatacją obwodową do uzupełnienia w zakresie własnym przez klienta.</w:t>
            </w:r>
          </w:p>
          <w:p w14:paraId="419E233B" w14:textId="77777777" w:rsidR="00505EF6" w:rsidRDefault="00505EF6" w:rsidP="00505EF6">
            <w:pPr>
              <w:jc w:val="left"/>
              <w:rPr>
                <w:rFonts w:eastAsia="HG Mincho Light J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Posadzki</w:t>
            </w:r>
          </w:p>
          <w:p w14:paraId="6ABA665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Wylewka cementowa zatarta na gładko, zbrojona włóknem rozproszonym, z dylatacją obwodową zabezpieczoną pianką dylatacyjną.</w:t>
            </w:r>
          </w:p>
          <w:p w14:paraId="0BF45A78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383F58AE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Izolacje termiczna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ab/>
            </w:r>
          </w:p>
          <w:p w14:paraId="7139CFB1" w14:textId="73F7C9F1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Izolacja termiczna </w:t>
            </w:r>
            <w:proofErr w:type="spellStart"/>
            <w:r>
              <w:rPr>
                <w:rFonts w:cstheme="minorHAnsi"/>
                <w:color w:val="000000"/>
                <w:sz w:val="20"/>
                <w:szCs w:val="20"/>
              </w:rPr>
              <w:t>podposadzkowa</w:t>
            </w:r>
            <w:proofErr w:type="spellEnd"/>
            <w:r>
              <w:rPr>
                <w:rFonts w:cstheme="minorHAnsi"/>
                <w:color w:val="000000"/>
                <w:sz w:val="20"/>
                <w:szCs w:val="20"/>
              </w:rPr>
              <w:t xml:space="preserve"> z twardego styropianu EPS-100 gr. 1</w:t>
            </w:r>
            <w:r w:rsidR="001E59BF">
              <w:rPr>
                <w:rFonts w:cstheme="minorHAnsi"/>
                <w:color w:val="000000"/>
                <w:sz w:val="20"/>
                <w:szCs w:val="20"/>
              </w:rPr>
              <w:t>4</w:t>
            </w:r>
            <w:r>
              <w:rPr>
                <w:rFonts w:cstheme="minorHAnsi"/>
                <w:color w:val="000000"/>
                <w:sz w:val="20"/>
                <w:szCs w:val="20"/>
              </w:rPr>
              <w:t>,0cm w podłodze na gruncie.</w:t>
            </w:r>
          </w:p>
          <w:p w14:paraId="51E1BA40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BB31A51" w14:textId="77777777" w:rsidR="00505EF6" w:rsidRDefault="00505EF6" w:rsidP="00505EF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Instalacje i urządzenia Sanitarne</w:t>
            </w:r>
          </w:p>
          <w:p w14:paraId="010572F1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Budynki mieszkalne zostaną wyposażone w instalacje:</w:t>
            </w:r>
          </w:p>
          <w:p w14:paraId="49172F0A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elektryczną</w:t>
            </w:r>
          </w:p>
          <w:p w14:paraId="197461E9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oświetlenia</w:t>
            </w:r>
          </w:p>
          <w:p w14:paraId="20DCED54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domofonową</w:t>
            </w:r>
          </w:p>
          <w:p w14:paraId="5689868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uziemienia</w:t>
            </w:r>
          </w:p>
          <w:p w14:paraId="74F9FEA4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odgromową</w:t>
            </w:r>
          </w:p>
          <w:p w14:paraId="35AADC7B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wodociągową (ciepłej i zimnej wody użytkowej)</w:t>
            </w:r>
          </w:p>
          <w:p w14:paraId="76D91ABF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kanalizacji sanitarnej</w:t>
            </w:r>
          </w:p>
          <w:p w14:paraId="01E3F6D8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wentylacji grawitacyjnej</w:t>
            </w:r>
          </w:p>
          <w:p w14:paraId="21816DD9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centralnego ogrzewania (w oparciu o indywidualne kotły gazowe w mieszkaniach)</w:t>
            </w:r>
          </w:p>
          <w:p w14:paraId="7D5FEC35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instalację gazową</w:t>
            </w:r>
          </w:p>
          <w:p w14:paraId="63F59DF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instalacji cyrkulacji c.w.u.,</w:t>
            </w:r>
          </w:p>
          <w:p w14:paraId="60B92DF2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>instalacji internetowej,</w:t>
            </w:r>
          </w:p>
          <w:p w14:paraId="3B247F5F" w14:textId="77777777" w:rsidR="00505EF6" w:rsidRDefault="00505EF6" w:rsidP="00505EF6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lastRenderedPageBreak/>
              <w:t xml:space="preserve"> </w:t>
            </w:r>
            <w:r>
              <w:rPr>
                <w:sz w:val="20"/>
                <w:szCs w:val="20"/>
              </w:rPr>
              <w:t>instalacji telewizji DVB-T / SAT</w:t>
            </w:r>
          </w:p>
          <w:p w14:paraId="02372CEB" w14:textId="77777777" w:rsidR="00505EF6" w:rsidRDefault="00505EF6" w:rsidP="00505EF6">
            <w:pPr>
              <w:jc w:val="left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="SymbolMT" w:eastAsia="SymbolMT" w:cs="SymbolMT" w:hint="eastAsia"/>
                <w:sz w:val="20"/>
                <w:szCs w:val="20"/>
              </w:rPr>
              <w:t xml:space="preserve"> </w:t>
            </w:r>
            <w:r>
              <w:rPr>
                <w:sz w:val="20"/>
                <w:szCs w:val="20"/>
              </w:rPr>
              <w:t xml:space="preserve">instalacji alarmu (w standardzie domów </w:t>
            </w:r>
            <w:proofErr w:type="spellStart"/>
            <w:r>
              <w:rPr>
                <w:sz w:val="20"/>
                <w:szCs w:val="20"/>
              </w:rPr>
              <w:t>ruraż</w:t>
            </w:r>
            <w:proofErr w:type="spellEnd"/>
            <w:r>
              <w:rPr>
                <w:sz w:val="20"/>
                <w:szCs w:val="20"/>
              </w:rPr>
              <w:t xml:space="preserve"> ochronny (</w:t>
            </w:r>
            <w:proofErr w:type="spellStart"/>
            <w:r>
              <w:rPr>
                <w:sz w:val="20"/>
                <w:szCs w:val="20"/>
              </w:rPr>
              <w:t>peszle</w:t>
            </w:r>
            <w:proofErr w:type="spellEnd"/>
            <w:r>
              <w:rPr>
                <w:sz w:val="20"/>
                <w:szCs w:val="20"/>
              </w:rPr>
              <w:t>) wraz z pilotem do wciągnięcia kabli)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C2D8D7" w14:textId="77777777" w:rsidR="00505EF6" w:rsidRDefault="00505EF6" w:rsidP="00505EF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63055CB0" w14:textId="77777777" w:rsidR="00505EF6" w:rsidRDefault="00505EF6" w:rsidP="00505EF6">
            <w:pPr>
              <w:jc w:val="left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>Wentylacja</w:t>
            </w:r>
          </w:p>
          <w:p w14:paraId="5FC1BFB3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Rekuperacja we wszystkich pomieszczeniach oprócz pomieszczenia w którym znajduje się kotłownia, tam wykonana będzie instalacja wentylacji grawitacyjnej.</w:t>
            </w:r>
          </w:p>
          <w:p w14:paraId="26E42838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9E7BF4B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A256A4" w14:textId="77777777" w:rsidR="00505EF6" w:rsidRDefault="00505EF6" w:rsidP="00505EF6">
            <w:pPr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0E2CCD5" w14:textId="77777777" w:rsidR="00505EF6" w:rsidRDefault="00505EF6" w:rsidP="00505EF6">
            <w:pPr>
              <w:jc w:val="left"/>
              <w:rPr>
                <w:rFonts w:cstheme="minorHAnsi"/>
                <w:sz w:val="20"/>
                <w:szCs w:val="20"/>
              </w:rPr>
            </w:pPr>
          </w:p>
          <w:p w14:paraId="47D8FFDD" w14:textId="77777777" w:rsidR="00505EF6" w:rsidRDefault="00505EF6" w:rsidP="00505EF6">
            <w:pPr>
              <w:tabs>
                <w:tab w:val="left" w:pos="720"/>
              </w:tabs>
              <w:autoSpaceDE w:val="0"/>
              <w:jc w:val="left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ADC9E1E" w14:textId="77777777" w:rsidR="00505EF6" w:rsidRDefault="00505EF6" w:rsidP="00505EF6">
            <w:pPr>
              <w:shd w:val="clear" w:color="auto" w:fill="FFFFFF"/>
              <w:suppressAutoHyphens/>
              <w:snapToGrid w:val="0"/>
              <w:spacing w:before="30" w:line="270" w:lineRule="exact"/>
              <w:jc w:val="left"/>
              <w:rPr>
                <w:rFonts w:cstheme="minorHAnsi"/>
                <w:b/>
                <w:sz w:val="20"/>
                <w:szCs w:val="20"/>
                <w:lang w:eastAsia="ar-SA"/>
              </w:rPr>
            </w:pPr>
          </w:p>
          <w:p w14:paraId="276B7CDF" w14:textId="77777777" w:rsidR="00A93D6B" w:rsidRPr="00216D20" w:rsidRDefault="00A93D6B" w:rsidP="006C62D4">
            <w:pPr>
              <w:keepLines/>
              <w:widowControl w:val="0"/>
              <w:tabs>
                <w:tab w:val="left" w:pos="3720"/>
                <w:tab w:val="left" w:pos="3930"/>
              </w:tabs>
              <w:spacing w:line="276" w:lineRule="auto"/>
              <w:jc w:val="left"/>
              <w:rPr>
                <w:rFonts w:ascii="Times New Roman" w:eastAsia="Lato" w:hAnsi="Times New Roman" w:cs="Times New Roman"/>
              </w:rPr>
            </w:pPr>
          </w:p>
        </w:tc>
      </w:tr>
      <w:tr w:rsidR="00A93D6B" w:rsidRPr="00216D20" w14:paraId="6FF4F8ED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28DCA5B3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 w:rsidRPr="00216D20">
              <w:rPr>
                <w:rFonts w:ascii="Times New Roman" w:hAnsi="Times New Roman" w:cs="Times New Roman"/>
              </w:rPr>
              <w:lastRenderedPageBreak/>
              <w:t>Data wydania zaświadczenia o samodzielności lokalu mieszkalnego</w:t>
            </w:r>
          </w:p>
        </w:tc>
        <w:tc>
          <w:tcPr>
            <w:tcW w:w="8453" w:type="dxa"/>
            <w:gridSpan w:val="4"/>
            <w:tcBorders>
              <w:bottom w:val="single" w:sz="4" w:space="0" w:color="000000"/>
            </w:tcBorders>
            <w:vAlign w:val="top"/>
          </w:tcPr>
          <w:p w14:paraId="33CD8F08" w14:textId="639CAD8C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A93D6B" w:rsidRPr="00216D20" w14:paraId="0012CFC1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23FE7FD4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Data ustanowienia odrębnej własności lokalu mieszkalnego</w:t>
            </w:r>
          </w:p>
        </w:tc>
        <w:tc>
          <w:tcPr>
            <w:tcW w:w="8453" w:type="dxa"/>
            <w:gridSpan w:val="4"/>
            <w:vAlign w:val="top"/>
          </w:tcPr>
          <w:p w14:paraId="757AB8DC" w14:textId="781BA291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A93D6B" w:rsidRPr="00216D20" w14:paraId="5F939CC7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6CB8CE17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Informacje o lokalu użytkowym nabywanym równocześnie z lokalem mieszkalnym albo domem jednorodzinnym</w:t>
            </w:r>
          </w:p>
        </w:tc>
        <w:tc>
          <w:tcPr>
            <w:tcW w:w="8453" w:type="dxa"/>
            <w:gridSpan w:val="4"/>
            <w:vAlign w:val="top"/>
          </w:tcPr>
          <w:p w14:paraId="08C7444B" w14:textId="57389D45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BRAK</w:t>
            </w:r>
          </w:p>
        </w:tc>
      </w:tr>
      <w:tr w:rsidR="00A93D6B" w:rsidRPr="00216D20" w14:paraId="1FA1C5B9" w14:textId="77777777" w:rsidTr="00413F25">
        <w:trPr>
          <w:trHeight w:val="612"/>
        </w:trPr>
        <w:tc>
          <w:tcPr>
            <w:tcW w:w="1925" w:type="dxa"/>
            <w:shd w:val="clear" w:color="auto" w:fill="D9D9D9"/>
            <w:vAlign w:val="top"/>
          </w:tcPr>
          <w:p w14:paraId="3CF26C97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Cenę lokalu użytkowego albo ułamkowej części własności lokalu użytkowego</w:t>
            </w:r>
          </w:p>
        </w:tc>
        <w:tc>
          <w:tcPr>
            <w:tcW w:w="8453" w:type="dxa"/>
            <w:gridSpan w:val="4"/>
            <w:vAlign w:val="top"/>
          </w:tcPr>
          <w:p w14:paraId="3A48379D" w14:textId="0E8B8EFB" w:rsidR="00A93D6B" w:rsidRPr="00720887" w:rsidRDefault="00720887" w:rsidP="00720887">
            <w:pPr>
              <w:tabs>
                <w:tab w:val="left" w:pos="279"/>
              </w:tabs>
              <w:jc w:val="left"/>
              <w:rPr>
                <w:rFonts w:ascii="Times New Roman" w:eastAsia="Lato" w:hAnsi="Times New Roman" w:cs="Times New Roman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  <w:r>
              <w:rPr>
                <w:rFonts w:ascii="Times New Roman" w:eastAsia="Lato" w:hAnsi="Times New Roman" w:cs="Times New Roman"/>
              </w:rPr>
              <w:tab/>
            </w:r>
          </w:p>
        </w:tc>
      </w:tr>
      <w:tr w:rsidR="00A93D6B" w:rsidRPr="00216D20" w14:paraId="0099DDF2" w14:textId="77777777" w:rsidTr="00413F25">
        <w:trPr>
          <w:trHeight w:val="612"/>
        </w:trPr>
        <w:tc>
          <w:tcPr>
            <w:tcW w:w="1925" w:type="dxa"/>
            <w:tcBorders>
              <w:bottom w:val="single" w:sz="4" w:space="0" w:color="000000"/>
            </w:tcBorders>
            <w:shd w:val="clear" w:color="auto" w:fill="D9D9D9"/>
            <w:vAlign w:val="top"/>
          </w:tcPr>
          <w:p w14:paraId="1C2B0B9F" w14:textId="77777777" w:rsidR="00A93D6B" w:rsidRPr="00216D20" w:rsidRDefault="00A93D6B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216D20">
              <w:rPr>
                <w:rFonts w:ascii="Times New Roman" w:hAnsi="Times New Roman" w:cs="Times New Roman"/>
              </w:rPr>
              <w:t>Termin, do którego nastąpi przeniesienie prawa własności lokalu użytkowego albo ułamkowej części własności lokalu użytkowego</w:t>
            </w:r>
          </w:p>
        </w:tc>
        <w:tc>
          <w:tcPr>
            <w:tcW w:w="8453" w:type="dxa"/>
            <w:gridSpan w:val="4"/>
            <w:tcBorders>
              <w:bottom w:val="single" w:sz="4" w:space="0" w:color="000000"/>
            </w:tcBorders>
            <w:vAlign w:val="top"/>
          </w:tcPr>
          <w:p w14:paraId="3A699C31" w14:textId="42F63A68" w:rsidR="00A93D6B" w:rsidRPr="00216D20" w:rsidRDefault="00720887" w:rsidP="006C6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Lato" w:hAnsi="Times New Roman" w:cs="Times New Roman"/>
                <w:color w:val="000000"/>
              </w:rPr>
            </w:pPr>
            <w:r>
              <w:rPr>
                <w:rFonts w:ascii="Times New Roman" w:eastAsia="Lato" w:hAnsi="Times New Roman" w:cs="Times New Roman"/>
                <w:color w:val="000000"/>
              </w:rPr>
              <w:t>NIE DOTYCZY</w:t>
            </w:r>
          </w:p>
        </w:tc>
      </w:tr>
    </w:tbl>
    <w:p w14:paraId="29E42DBC" w14:textId="77777777" w:rsidR="00C71AF7" w:rsidRPr="00216D20" w:rsidRDefault="00C71AF7" w:rsidP="00216D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Lato" w:hAnsi="Times New Roman" w:cs="Times New Roman"/>
          <w:b/>
          <w:color w:val="000000"/>
        </w:rPr>
      </w:pPr>
    </w:p>
    <w:p w14:paraId="31BB4E34" w14:textId="77777777" w:rsidR="00C71AF7" w:rsidRPr="00216D20" w:rsidRDefault="00C71AF7" w:rsidP="00216D2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Lato" w:hAnsi="Times New Roman" w:cs="Times New Roman"/>
          <w:b/>
          <w:color w:val="000000"/>
        </w:rPr>
      </w:pPr>
    </w:p>
    <w:p w14:paraId="79B3FC1D" w14:textId="77777777" w:rsidR="00C71AF7" w:rsidRPr="00216D20" w:rsidRDefault="00C71AF7" w:rsidP="00216D20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  <w:r w:rsidRPr="00216D20">
        <w:rPr>
          <w:rFonts w:ascii="Times New Roman" w:eastAsia="Lato" w:hAnsi="Times New Roman" w:cs="Times New Roman"/>
          <w:b/>
          <w:color w:val="000000"/>
        </w:rPr>
        <w:t xml:space="preserve">podpis dewelopera albo osoby uprawnionej do jego reprezentacji </w:t>
      </w:r>
    </w:p>
    <w:p w14:paraId="08DBD737" w14:textId="77777777" w:rsidR="00C71AF7" w:rsidRPr="00216D20" w:rsidRDefault="00C71AF7" w:rsidP="00216D20">
      <w:pP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  <w:r w:rsidRPr="00216D20">
        <w:rPr>
          <w:rFonts w:ascii="Times New Roman" w:eastAsia="Lato" w:hAnsi="Times New Roman" w:cs="Times New Roman"/>
          <w:b/>
          <w:color w:val="000000"/>
        </w:rPr>
        <w:t xml:space="preserve">                         ……………………………………………</w:t>
      </w:r>
    </w:p>
    <w:p w14:paraId="74DC1FC9" w14:textId="77777777" w:rsidR="00C71AF7" w:rsidRPr="00216D20" w:rsidRDefault="00C71AF7" w:rsidP="00216D20">
      <w:pP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</w:p>
    <w:p w14:paraId="3BBC54CF" w14:textId="77777777" w:rsidR="00C71AF7" w:rsidRPr="00216D20" w:rsidRDefault="00C71AF7" w:rsidP="00216D20">
      <w:pPr>
        <w:spacing w:after="0"/>
        <w:jc w:val="right"/>
        <w:rPr>
          <w:rFonts w:ascii="Times New Roman" w:eastAsia="Lato" w:hAnsi="Times New Roman" w:cs="Times New Roman"/>
          <w:b/>
          <w:color w:val="000000"/>
        </w:rPr>
      </w:pPr>
    </w:p>
    <w:p w14:paraId="430E6D87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  <w:b/>
        </w:rPr>
      </w:pPr>
      <w:r w:rsidRPr="00216D20">
        <w:rPr>
          <w:rFonts w:ascii="Times New Roman" w:eastAsia="Lato" w:hAnsi="Times New Roman" w:cs="Times New Roman"/>
          <w:b/>
        </w:rPr>
        <w:t>Załączniki:</w:t>
      </w:r>
    </w:p>
    <w:p w14:paraId="1B8CB634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</w:rPr>
      </w:pPr>
      <w:r w:rsidRPr="00216D20">
        <w:rPr>
          <w:rFonts w:ascii="Times New Roman" w:eastAsia="Lato" w:hAnsi="Times New Roman" w:cs="Times New Roman"/>
        </w:rPr>
        <w:lastRenderedPageBreak/>
        <w:t>1. Rzut kondygnacji z zaznaczeniem lokalu mieszkalnego.</w:t>
      </w:r>
    </w:p>
    <w:p w14:paraId="00369A6C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</w:rPr>
      </w:pPr>
      <w:r w:rsidRPr="00216D20">
        <w:rPr>
          <w:rFonts w:ascii="Times New Roman" w:eastAsia="Lato" w:hAnsi="Times New Roman" w:cs="Times New Roman"/>
        </w:rPr>
        <w:t>2. Wzór umowy deweloperskiej lub umowy, o której mowa w art. 2 ust. 1 pkt 2, 3 lub 5 ustawy z dnia 20 maja 2021 r. o ochronie praw nabywcy lokalu mieszkalnego lub domu jednorodzinnego oraz Deweloperskim Funduszu Gwarancyjnym.</w:t>
      </w:r>
    </w:p>
    <w:p w14:paraId="49CED72F" w14:textId="77777777" w:rsidR="00C71AF7" w:rsidRPr="00216D20" w:rsidRDefault="00C71AF7" w:rsidP="00216D20">
      <w:pPr>
        <w:spacing w:after="0"/>
        <w:jc w:val="both"/>
        <w:rPr>
          <w:rFonts w:ascii="Times New Roman" w:eastAsia="Lato" w:hAnsi="Times New Roman" w:cs="Times New Roman"/>
        </w:rPr>
      </w:pPr>
      <w:r w:rsidRPr="00216D20">
        <w:rPr>
          <w:rFonts w:ascii="Times New Roman" w:eastAsia="Lato" w:hAnsi="Times New Roman" w:cs="Times New Roman"/>
        </w:rPr>
        <w:t>3. Szkic koncepcji zagospodarowania terenu inwestycji i jego otoczenia z zaznaczeniem budynku oraz istotnych uwarunkowań lokalizacji inwestycji wynikających z istniejącego stanu użytkowania terenów sąsiednich (np. z funkcji terenu, stref ochronnych, uciążliwości)</w:t>
      </w:r>
    </w:p>
    <w:sectPr w:rsidR="00C71AF7" w:rsidRPr="00216D20">
      <w:footerReference w:type="default" r:id="rId12"/>
      <w:pgSz w:w="11906" w:h="16838"/>
      <w:pgMar w:top="964" w:right="624" w:bottom="113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5E9FF" w14:textId="77777777" w:rsidR="00493CCA" w:rsidRDefault="00493CCA">
      <w:pPr>
        <w:spacing w:after="0" w:line="240" w:lineRule="auto"/>
      </w:pPr>
      <w:r>
        <w:separator/>
      </w:r>
    </w:p>
  </w:endnote>
  <w:endnote w:type="continuationSeparator" w:id="0">
    <w:p w14:paraId="7083EE89" w14:textId="77777777" w:rsidR="00493CCA" w:rsidRDefault="0049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 CE Normalny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DE07" w14:textId="77777777" w:rsidR="00817134" w:rsidRDefault="00817134">
    <w:pPr>
      <w:pStyle w:val="Stopka"/>
    </w:pPr>
    <w:r>
      <w:sym w:font="Symbol" w:char="F02A"/>
    </w:r>
    <w:r>
      <w:t xml:space="preserve"> Niepotrzebne skreślić.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48F1" w14:textId="77777777" w:rsidR="00493CCA" w:rsidRDefault="00493CCA">
      <w:pPr>
        <w:spacing w:after="0" w:line="240" w:lineRule="auto"/>
      </w:pPr>
      <w:r>
        <w:separator/>
      </w:r>
    </w:p>
  </w:footnote>
  <w:footnote w:type="continuationSeparator" w:id="0">
    <w:p w14:paraId="1B7345E1" w14:textId="77777777" w:rsidR="00493CCA" w:rsidRDefault="00493CCA">
      <w:pPr>
        <w:spacing w:after="0" w:line="240" w:lineRule="auto"/>
      </w:pPr>
      <w:r>
        <w:continuationSeparator/>
      </w:r>
    </w:p>
  </w:footnote>
  <w:footnote w:id="1">
    <w:p w14:paraId="04734E70" w14:textId="77777777" w:rsidR="00817134" w:rsidRDefault="0081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t>Jeżeli działka nie posiada adresu, należy opisowo określić jej położenie.</w:t>
      </w:r>
    </w:p>
  </w:footnote>
  <w:footnote w:id="2">
    <w:p w14:paraId="5694D0D0" w14:textId="77777777" w:rsidR="00817134" w:rsidRDefault="008171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eastAsia="Calibri"/>
          <w:color w:val="000000"/>
          <w:sz w:val="20"/>
          <w:szCs w:val="20"/>
        </w:rPr>
        <w:t xml:space="preserve"> W szczególności imię i nazwisko albo nazwa (firma) właściciela lub użytkownika wieczystego oraz istniejące obciążenia na nieruchomości.</w:t>
      </w:r>
    </w:p>
  </w:footnote>
  <w:footnote w:id="3">
    <w:p w14:paraId="261BA942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1E02">
        <w:t>W szczególności obiekty generujące uciążliwości zapachowe, hałasowe, świetlne</w:t>
      </w:r>
    </w:p>
  </w:footnote>
  <w:footnote w:id="4">
    <w:p w14:paraId="0E391FD2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E1E02">
        <w:t>Akty prawne (rozporządzenia, zarządzenia, uchwały, decyzje) w sprawie:</w:t>
      </w:r>
    </w:p>
    <w:p w14:paraId="408682C5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dokonania rezerwacji obszaru inwestycji (Centralny Port Komunikacyjny),</w:t>
      </w:r>
    </w:p>
    <w:p w14:paraId="0353A459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lokalizacji inwestycji mieszkaniowej lub inwestycji towarzyszącej,</w:t>
      </w:r>
    </w:p>
    <w:p w14:paraId="3AD4A992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0B7A2B93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ustanowienia strefy ochronnej terenu ochrony bezpośredniej i terenu ochrony pośredniej ujęcia wody,</w:t>
      </w:r>
    </w:p>
    <w:p w14:paraId="68E64F3C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wyznaczenia obszarów cichych w aglomeracji lub obszarów cichych poza aglomeracją,</w:t>
      </w:r>
    </w:p>
    <w:p w14:paraId="667AB0C6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utworzenia obszaru ograniczonego użytkowania,</w:t>
      </w:r>
    </w:p>
    <w:p w14:paraId="0BDC7F10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uznania zabytku za pomnik historii</w:t>
      </w:r>
    </w:p>
    <w:p w14:paraId="25034834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określenia granic obszaru Pomnika Zagłady i jego strefy ochronnej, utworzenia parku kulturowego,</w:t>
      </w:r>
    </w:p>
    <w:p w14:paraId="09F5BFFF" w14:textId="77777777" w:rsidR="00817134" w:rsidRDefault="00817134" w:rsidP="008E1E02">
      <w:pPr>
        <w:pStyle w:val="Tekstprzypisudolnego"/>
        <w:numPr>
          <w:ilvl w:val="0"/>
          <w:numId w:val="2"/>
        </w:numPr>
      </w:pPr>
      <w:r w:rsidRPr="008E1E02"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14:paraId="33D34998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90146">
        <w:t>W przypadku braku miejscowego planu zagospodarowania przestrzennego umieszcza się informację „Brak planu”.</w:t>
      </w:r>
    </w:p>
  </w:footnote>
  <w:footnote w:id="6">
    <w:p w14:paraId="4BBB0949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Wskazane inwestycje dotyczą w szczególności: budowy lub rozbudowy dróg, budowy linii szynowych oraz przewidzianych korytarzy powietrznych, inwestycji komunalnych, takich jak: oczyszczalnie ścieków, spalarnie śmieci, wysypiska, cmentarz</w:t>
      </w:r>
    </w:p>
  </w:footnote>
  <w:footnote w:id="7">
    <w:p w14:paraId="616010C8" w14:textId="77777777" w:rsidR="00817134" w:rsidRDefault="00817134">
      <w:pPr>
        <w:pStyle w:val="Tekstprzypisudolnego"/>
      </w:pPr>
      <w:r>
        <w:rPr>
          <w:rStyle w:val="Odwoanieprzypisudolnego"/>
        </w:rPr>
        <w:footnoteRef/>
      </w:r>
      <w:r>
        <w:t xml:space="preserve"> Zgodnie z art. 49 ust. 6 ustawy z dnia 20 maja 2021 r. o ochronie praw nabywcy lokalu mieszkalnego lub domu jednorodzinnego oraz Deweloperskim Funduszu Gwarancyjnym (Dz. U. poz. 1177) wysokość składki jest wyliczana według stawki procentowej obowiązującej w dniu rozpoczęcia sprzedaży lokali mieszkalnych lub domów jednorodzinnych w ramach danego przedsięwzięcia deweloperskiego lub zadania inwestycyjnego. Natomiast stawkę procentową określa akt wykonawczy wydany na podstawie art. 49 ust. 8 ustawy z dnia 20 maja 2021 r. o ochronie praw nabywcy lokalu mieszkalnego lub domu jednorodzinnego oraz Deweloperskim Funduszu Gwarancyjnym.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B765C"/>
    <w:multiLevelType w:val="multilevel"/>
    <w:tmpl w:val="E07E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A0C4D57"/>
    <w:multiLevelType w:val="hybridMultilevel"/>
    <w:tmpl w:val="8F88E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77976">
    <w:abstractNumId w:val="0"/>
  </w:num>
  <w:num w:numId="2" w16cid:durableId="138151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AA"/>
    <w:rsid w:val="00022DEE"/>
    <w:rsid w:val="00077F58"/>
    <w:rsid w:val="00095999"/>
    <w:rsid w:val="001E59BF"/>
    <w:rsid w:val="00216D20"/>
    <w:rsid w:val="002D0599"/>
    <w:rsid w:val="002D31F0"/>
    <w:rsid w:val="002F6375"/>
    <w:rsid w:val="00303F5C"/>
    <w:rsid w:val="00385547"/>
    <w:rsid w:val="00413F25"/>
    <w:rsid w:val="0044164C"/>
    <w:rsid w:val="0047210F"/>
    <w:rsid w:val="00475F81"/>
    <w:rsid w:val="00493CCA"/>
    <w:rsid w:val="004946BA"/>
    <w:rsid w:val="004F6837"/>
    <w:rsid w:val="00505EF6"/>
    <w:rsid w:val="005415E1"/>
    <w:rsid w:val="005B7B9C"/>
    <w:rsid w:val="005E57D5"/>
    <w:rsid w:val="005F2FC1"/>
    <w:rsid w:val="00601E75"/>
    <w:rsid w:val="00622501"/>
    <w:rsid w:val="00672E37"/>
    <w:rsid w:val="006B7630"/>
    <w:rsid w:val="006C62D4"/>
    <w:rsid w:val="006D18A4"/>
    <w:rsid w:val="00720887"/>
    <w:rsid w:val="00790146"/>
    <w:rsid w:val="007B207D"/>
    <w:rsid w:val="007B5F0B"/>
    <w:rsid w:val="00813E8D"/>
    <w:rsid w:val="00817134"/>
    <w:rsid w:val="00857C50"/>
    <w:rsid w:val="008609D9"/>
    <w:rsid w:val="00870314"/>
    <w:rsid w:val="008A44AC"/>
    <w:rsid w:val="008B5458"/>
    <w:rsid w:val="008C1847"/>
    <w:rsid w:val="008E1E02"/>
    <w:rsid w:val="008E6192"/>
    <w:rsid w:val="00922FC4"/>
    <w:rsid w:val="00950C3A"/>
    <w:rsid w:val="00960CB1"/>
    <w:rsid w:val="00971C1B"/>
    <w:rsid w:val="00973C72"/>
    <w:rsid w:val="009B36B1"/>
    <w:rsid w:val="009D5495"/>
    <w:rsid w:val="00A320A8"/>
    <w:rsid w:val="00A4237D"/>
    <w:rsid w:val="00A45E2C"/>
    <w:rsid w:val="00A87A4C"/>
    <w:rsid w:val="00A93D6B"/>
    <w:rsid w:val="00AD2547"/>
    <w:rsid w:val="00AD4123"/>
    <w:rsid w:val="00AF4C19"/>
    <w:rsid w:val="00B06662"/>
    <w:rsid w:val="00B310A4"/>
    <w:rsid w:val="00B413F5"/>
    <w:rsid w:val="00B629CA"/>
    <w:rsid w:val="00BA313B"/>
    <w:rsid w:val="00BA7D28"/>
    <w:rsid w:val="00BC0C5D"/>
    <w:rsid w:val="00C00A9E"/>
    <w:rsid w:val="00C113D7"/>
    <w:rsid w:val="00C27DDB"/>
    <w:rsid w:val="00C53ADC"/>
    <w:rsid w:val="00C705CD"/>
    <w:rsid w:val="00C71AF7"/>
    <w:rsid w:val="00CA5771"/>
    <w:rsid w:val="00CB16D9"/>
    <w:rsid w:val="00CC6E96"/>
    <w:rsid w:val="00CD666D"/>
    <w:rsid w:val="00D05B49"/>
    <w:rsid w:val="00D159CE"/>
    <w:rsid w:val="00D219BC"/>
    <w:rsid w:val="00D2350F"/>
    <w:rsid w:val="00D26CAA"/>
    <w:rsid w:val="00D37085"/>
    <w:rsid w:val="00D37346"/>
    <w:rsid w:val="00D443A5"/>
    <w:rsid w:val="00DF7400"/>
    <w:rsid w:val="00E57EE1"/>
    <w:rsid w:val="00E80B63"/>
    <w:rsid w:val="00F03CD2"/>
    <w:rsid w:val="00F21B9C"/>
    <w:rsid w:val="00F33086"/>
    <w:rsid w:val="00F35225"/>
    <w:rsid w:val="00F61B02"/>
    <w:rsid w:val="00F92E3B"/>
    <w:rsid w:val="00FA417A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5C41"/>
  <w15:docId w15:val="{C8FD0BD8-CE40-477E-956A-857D75AC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AA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000A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00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Tech-ComDokumentacja">
    <w:name w:val="Tech-Com Dokumentacja"/>
    <w:uiPriority w:val="99"/>
    <w:rsid w:val="000000AA"/>
  </w:style>
  <w:style w:type="table" w:customStyle="1" w:styleId="TabelaMurapolSpecyfikacja">
    <w:name w:val="Tabela Murapol Specyfikacja"/>
    <w:basedOn w:val="Standardowy"/>
    <w:uiPriority w:val="99"/>
    <w:rsid w:val="000000AA"/>
    <w:pPr>
      <w:spacing w:after="0" w:line="240" w:lineRule="auto"/>
      <w:jc w:val="center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b/>
      </w:rPr>
      <w:tblPr/>
      <w:tcPr>
        <w:shd w:val="clear" w:color="auto" w:fill="548DD4" w:themeFill="text2" w:themeFillTint="99"/>
      </w:tcPr>
    </w:tblStylePr>
    <w:tblStylePr w:type="lastCol">
      <w:pPr>
        <w:jc w:val="left"/>
      </w:pPr>
    </w:tblStylePr>
  </w:style>
  <w:style w:type="table" w:customStyle="1" w:styleId="TabelaMurapolSpecyfikacjainnykolor">
    <w:name w:val="Tabela Murapol Specyfikacja inny kolor"/>
    <w:basedOn w:val="TabelaMurapolSpecyfikacja"/>
    <w:uiPriority w:val="99"/>
    <w:rsid w:val="000000AA"/>
    <w:tblPr/>
    <w:tblStylePr w:type="firstRow">
      <w:pPr>
        <w:jc w:val="center"/>
      </w:pPr>
      <w:rPr>
        <w:b/>
      </w:rPr>
      <w:tblPr/>
      <w:tcPr>
        <w:shd w:val="clear" w:color="auto" w:fill="FFFF00"/>
      </w:tcPr>
    </w:tblStylePr>
    <w:tblStylePr w:type="lastCol">
      <w:pPr>
        <w:jc w:val="left"/>
      </w:pPr>
    </w:tblStylePr>
  </w:style>
  <w:style w:type="table" w:customStyle="1" w:styleId="Murapolpowiadomienia">
    <w:name w:val="Murapol powiadomienia"/>
    <w:basedOn w:val="Standardowy"/>
    <w:uiPriority w:val="99"/>
    <w:rsid w:val="00000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Theme="minorHAnsi" w:hAnsiTheme="minorHAnsi"/>
        <w:b/>
        <w:sz w:val="22"/>
      </w:rPr>
      <w:tblPr/>
      <w:tcPr>
        <w:shd w:val="clear" w:color="auto" w:fill="B8CCE4" w:themeFill="accent1" w:themeFillTint="66"/>
      </w:tcPr>
    </w:tblStylePr>
  </w:style>
  <w:style w:type="paragraph" w:customStyle="1" w:styleId="MurapolNazwaAkcji">
    <w:name w:val="Murapol Nazwa Akcji"/>
    <w:basedOn w:val="Normalny"/>
    <w:rsid w:val="000000AA"/>
    <w:pPr>
      <w:tabs>
        <w:tab w:val="left" w:pos="10206"/>
      </w:tabs>
      <w:spacing w:after="0" w:line="240" w:lineRule="auto"/>
    </w:pPr>
    <w:rPr>
      <w:rFonts w:ascii="Arial" w:hAnsi="Arial" w:cs="Arial"/>
      <w:b/>
    </w:rPr>
  </w:style>
  <w:style w:type="paragraph" w:customStyle="1" w:styleId="MurapolTrepowiadomienia">
    <w:name w:val="Murapol Treść powiadomienia"/>
    <w:basedOn w:val="Normalny"/>
    <w:rsid w:val="000000AA"/>
    <w:pPr>
      <w:tabs>
        <w:tab w:val="left" w:pos="10206"/>
      </w:tabs>
      <w:spacing w:after="0" w:line="240" w:lineRule="auto"/>
    </w:pPr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000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0000AA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000AA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Nagwek">
    <w:name w:val="header"/>
    <w:basedOn w:val="Normalny"/>
    <w:link w:val="NagwekZnak"/>
    <w:unhideWhenUsed/>
    <w:rsid w:val="000000AA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000AA"/>
  </w:style>
  <w:style w:type="paragraph" w:styleId="Stopka">
    <w:name w:val="footer"/>
    <w:basedOn w:val="Normalny"/>
    <w:link w:val="StopkaZnak"/>
    <w:uiPriority w:val="99"/>
    <w:unhideWhenUsed/>
    <w:rsid w:val="00000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0AA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0AA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0000A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00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43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4332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4332"/>
    <w:rPr>
      <w:vertAlign w:val="superscript"/>
    </w:rPr>
  </w:style>
  <w:style w:type="paragraph" w:customStyle="1" w:styleId="Normalny3">
    <w:name w:val="Normalny3"/>
    <w:basedOn w:val="Normalny"/>
    <w:rsid w:val="00A31D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bidi="pl-PL"/>
    </w:rPr>
  </w:style>
  <w:style w:type="character" w:styleId="Hipercze">
    <w:name w:val="Hyperlink"/>
    <w:basedOn w:val="Domylnaczcionkaakapitu"/>
    <w:uiPriority w:val="99"/>
    <w:unhideWhenUsed/>
    <w:rsid w:val="00830BFB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815BE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pacing w:after="0" w:line="240" w:lineRule="auto"/>
      <w:ind w:firstLine="567"/>
      <w:jc w:val="both"/>
    </w:pPr>
    <w:rPr>
      <w:rFonts w:ascii="Courier New CE Normalny" w:eastAsia="Times New Roman" w:hAnsi="Courier New CE Normalny" w:cs="Times New Roman"/>
      <w:b/>
      <w:sz w:val="27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815BE"/>
    <w:rPr>
      <w:rFonts w:ascii="Courier New CE Normalny" w:eastAsia="Times New Roman" w:hAnsi="Courier New CE Normalny" w:cs="Times New Roman"/>
      <w:b/>
      <w:sz w:val="27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A259F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259F9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2C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2CB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2C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103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49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95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953"/>
    <w:rPr>
      <w:rFonts w:eastAsiaTheme="minorEastAsia"/>
      <w:b/>
      <w:bCs/>
      <w:sz w:val="20"/>
      <w:szCs w:val="20"/>
      <w:lang w:eastAsia="pl-PL"/>
    </w:rPr>
  </w:style>
  <w:style w:type="character" w:customStyle="1" w:styleId="apple-converted-space">
    <w:name w:val="apple-converted-space"/>
    <w:rsid w:val="00527C4C"/>
  </w:style>
  <w:style w:type="character" w:customStyle="1" w:styleId="normaltextrun">
    <w:name w:val="normaltextrun"/>
    <w:basedOn w:val="Domylnaczcionkaakapitu"/>
    <w:rsid w:val="007F591F"/>
  </w:style>
  <w:style w:type="character" w:styleId="Pogrubienie">
    <w:name w:val="Strong"/>
    <w:basedOn w:val="Domylnaczcionkaakapitu"/>
    <w:uiPriority w:val="22"/>
    <w:qFormat/>
    <w:rsid w:val="00CA5F87"/>
    <w:rPr>
      <w:b/>
      <w:bCs/>
    </w:rPr>
  </w:style>
  <w:style w:type="character" w:customStyle="1" w:styleId="highlight">
    <w:name w:val="highlight"/>
    <w:basedOn w:val="Domylnaczcionkaakapitu"/>
    <w:rsid w:val="00257E3D"/>
  </w:style>
  <w:style w:type="character" w:customStyle="1" w:styleId="footnote">
    <w:name w:val="footnote"/>
    <w:basedOn w:val="Domylnaczcionkaakapitu"/>
    <w:rsid w:val="00257E3D"/>
  </w:style>
  <w:style w:type="paragraph" w:customStyle="1" w:styleId="mainpub">
    <w:name w:val="mainpub"/>
    <w:basedOn w:val="Normalny"/>
    <w:rsid w:val="00257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1">
    <w:name w:val="Tekst komentarza Znak1"/>
    <w:uiPriority w:val="99"/>
    <w:rsid w:val="00B00362"/>
    <w:rPr>
      <w:rFonts w:ascii="Garamond" w:eastAsia="Times New Roman" w:hAnsi="Garamond" w:cs="Times New Roman"/>
      <w:sz w:val="20"/>
      <w:szCs w:val="20"/>
      <w:lang w:eastAsia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3">
    <w:name w:val="3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2">
    <w:name w:val="2"/>
    <w:basedOn w:val="TableNormal"/>
    <w:pPr>
      <w:spacing w:after="0" w:line="240" w:lineRule="auto"/>
      <w:jc w:val="center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  <w:vAlign w:val="center"/>
    </w:tcPr>
  </w:style>
  <w:style w:type="table" w:customStyle="1" w:styleId="1">
    <w:name w:val="1"/>
    <w:basedOn w:val="TableNormal"/>
    <w:tblPr>
      <w:tblStyleRowBandSize w:val="1"/>
      <w:tblStyleColBandSize w:val="1"/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F2FC1"/>
    <w:rPr>
      <w:color w:val="605E5C"/>
      <w:shd w:val="clear" w:color="auto" w:fill="E1DFDD"/>
    </w:rPr>
  </w:style>
  <w:style w:type="character" w:customStyle="1" w:styleId="Odwoaniedokomentarza1">
    <w:name w:val="Odwołanie do komentarza1"/>
    <w:basedOn w:val="Domylnaczcionkaakapitu"/>
    <w:rsid w:val="00D37346"/>
    <w:rPr>
      <w:sz w:val="16"/>
    </w:rPr>
  </w:style>
  <w:style w:type="paragraph" w:customStyle="1" w:styleId="Style1">
    <w:name w:val="Style1"/>
    <w:basedOn w:val="Normalny"/>
    <w:rsid w:val="00D37346"/>
    <w:pPr>
      <w:tabs>
        <w:tab w:val="right" w:leader="hyphen" w:pos="8789"/>
      </w:tabs>
      <w:suppressAutoHyphens/>
      <w:spacing w:after="0" w:line="360" w:lineRule="auto"/>
      <w:ind w:right="283"/>
      <w:jc w:val="both"/>
    </w:pPr>
    <w:rPr>
      <w:rFonts w:ascii="Courier New" w:eastAsia="Times New Roman" w:hAnsi="Courier New" w:cs="Courier New"/>
      <w:i/>
      <w:iCs/>
      <w:lang w:eastAsia="ar-SA"/>
    </w:rPr>
  </w:style>
  <w:style w:type="paragraph" w:customStyle="1" w:styleId="Tekstpodstawowywcity31">
    <w:name w:val="Tekst podstawowy wcięty 31"/>
    <w:basedOn w:val="Normalny"/>
    <w:rsid w:val="004946BA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1"/>
      <w:sz w:val="16"/>
      <w:szCs w:val="14"/>
      <w:lang w:eastAsia="hi-IN" w:bidi="hi-IN"/>
    </w:rPr>
  </w:style>
  <w:style w:type="paragraph" w:customStyle="1" w:styleId="WW-Tekstpodstawowywcity2">
    <w:name w:val="WW-Tekst podstawowy wcięty 2"/>
    <w:basedOn w:val="Normalny"/>
    <w:rsid w:val="004946BA"/>
    <w:pPr>
      <w:widowControl w:val="0"/>
      <w:suppressAutoHyphens/>
      <w:spacing w:after="0" w:line="240" w:lineRule="auto"/>
      <w:ind w:left="708" w:firstLine="1"/>
    </w:pPr>
    <w:rPr>
      <w:rFonts w:ascii="Thorndale" w:eastAsia="HG Mincho Light J" w:hAnsi="Thorndale" w:cs="Times New Roman"/>
      <w:color w:val="000000"/>
      <w:kern w:val="1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37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587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061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0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088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514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343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880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55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fg.pl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dginvest.pl" TargetMode="External"/><Relationship Id="rId4" Type="http://schemas.openxmlformats.org/officeDocument/2006/relationships/styles" Target="styles.xml"/><Relationship Id="rId9" Type="http://schemas.openxmlformats.org/officeDocument/2006/relationships/hyperlink" Target="mailto:biuro@mdginves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mFEAumsbxCJ/1e3+Cg1xXpFWg==">AMUW2mXPGjfgfE5uPPh6HDTGcQkZSwMYA/qJe+n4ZcYgB9Um56/a9qDg1QukOfvUqFUxthhNn83H6nc1agPJyrqtsZIhXwHVQI0EyuH2rZEWIosdzY0cC0VjbRB4/3NZTpA0LsEhCtnnyi/rO+x7U1pz2IjqwTKzmxw/TYo2VihgyLMi9gqrQqpkIPTLGIjlkdHWRcs3BxE4vBZnUYEv2PUIj0WsoE4BRkLmy17aPYsgrKShsj4v2igoJFiBWPSFpOFv/Z+Wkaqy</go:docsCustomData>
</go:gDocsCustomXmlDataStorage>
</file>

<file path=customXml/itemProps1.xml><?xml version="1.0" encoding="utf-8"?>
<ds:datastoreItem xmlns:ds="http://schemas.openxmlformats.org/officeDocument/2006/customXml" ds:itemID="{D8363A1C-315A-4A82-A9FF-C4CBB3887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19</Pages>
  <Words>4924</Words>
  <Characters>29545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Kruczek</dc:creator>
  <cp:keywords/>
  <dc:description/>
  <cp:lastModifiedBy>Michał Jabłoński</cp:lastModifiedBy>
  <cp:revision>13</cp:revision>
  <cp:lastPrinted>2026-01-11T16:18:00Z</cp:lastPrinted>
  <dcterms:created xsi:type="dcterms:W3CDTF">2024-09-27T15:20:00Z</dcterms:created>
  <dcterms:modified xsi:type="dcterms:W3CDTF">2026-01-14T09:10:00Z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0x010100D7E59B6E057D904AAE05FF492A23AA60</vt:lpwstr>
  </property>
</Properties>
</file>